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415" w:rsidRDefault="00DF3415" w:rsidP="00DF3415">
      <w:pPr>
        <w:pStyle w:val="NormaleWeb"/>
      </w:pPr>
      <w:r>
        <w:rPr>
          <w:rFonts w:ascii="Arial" w:hAnsi="Arial" w:cs="Arial"/>
          <w:b/>
          <w:bCs/>
          <w:sz w:val="27"/>
        </w:rPr>
        <w:t>condomini sono responsabili pro quota delle spese condominiali</w:t>
      </w:r>
      <w:r>
        <w:rPr>
          <w:b/>
          <w:bCs/>
        </w:rPr>
        <w:br/>
      </w:r>
      <w:proofErr w:type="spellStart"/>
      <w:r>
        <w:rPr>
          <w:rFonts w:ascii="Arial" w:hAnsi="Arial" w:cs="Arial"/>
          <w:b/>
          <w:bCs/>
          <w:sz w:val="20"/>
          <w:szCs w:val="20"/>
        </w:rPr>
        <w:t>Cass</w:t>
      </w:r>
      <w:proofErr w:type="spellEnd"/>
      <w:r>
        <w:rPr>
          <w:rFonts w:ascii="Arial" w:hAnsi="Arial" w:cs="Arial"/>
          <w:b/>
          <w:bCs/>
          <w:sz w:val="20"/>
          <w:szCs w:val="20"/>
        </w:rPr>
        <w:t>. Sezioni Unite sentenza n. 9148/08</w:t>
      </w:r>
    </w:p>
    <w:p w:rsidR="00DF3415" w:rsidRDefault="00DF3415" w:rsidP="00DF3415">
      <w:pPr>
        <w:pStyle w:val="NormaleWeb"/>
        <w:jc w:val="center"/>
      </w:pPr>
      <w:r>
        <w:rPr>
          <w:rFonts w:ascii="Arial" w:hAnsi="Arial" w:cs="Arial"/>
          <w:b/>
          <w:bCs/>
          <w:sz w:val="20"/>
          <w:szCs w:val="20"/>
        </w:rPr>
        <w:t>SUPREMA CORTE DI CASSAZIONE</w:t>
      </w:r>
    </w:p>
    <w:p w:rsidR="00DF3415" w:rsidRDefault="00DF3415" w:rsidP="00DF3415">
      <w:pPr>
        <w:pStyle w:val="NormaleWeb"/>
        <w:jc w:val="center"/>
      </w:pPr>
      <w:r>
        <w:rPr>
          <w:rFonts w:ascii="Arial" w:hAnsi="Arial" w:cs="Arial"/>
          <w:b/>
          <w:bCs/>
          <w:sz w:val="20"/>
          <w:szCs w:val="20"/>
        </w:rPr>
        <w:t>SEZIONI UNITE CIVILI</w:t>
      </w:r>
    </w:p>
    <w:p w:rsidR="00DF3415" w:rsidRDefault="00DF3415" w:rsidP="00DF3415">
      <w:pPr>
        <w:pStyle w:val="NormaleWeb"/>
        <w:jc w:val="center"/>
      </w:pPr>
      <w:r>
        <w:rPr>
          <w:rFonts w:ascii="Arial" w:hAnsi="Arial" w:cs="Arial"/>
          <w:b/>
          <w:bCs/>
          <w:sz w:val="20"/>
          <w:szCs w:val="20"/>
        </w:rPr>
        <w:t>Sentenza 8 aprile 2008, n. 9148</w:t>
      </w:r>
    </w:p>
    <w:p w:rsidR="00DF3415" w:rsidRDefault="00DF3415" w:rsidP="00DF3415">
      <w:pPr>
        <w:pStyle w:val="NormaleWeb"/>
        <w:jc w:val="center"/>
      </w:pPr>
      <w:r>
        <w:rPr>
          <w:rStyle w:val="Enfasicorsivo"/>
          <w:rFonts w:ascii="Arial" w:hAnsi="Arial" w:cs="Arial"/>
          <w:sz w:val="20"/>
          <w:szCs w:val="20"/>
        </w:rPr>
        <w:t>(</w:t>
      </w:r>
      <w:proofErr w:type="spellStart"/>
      <w:r>
        <w:rPr>
          <w:rStyle w:val="Enfasicorsivo"/>
          <w:rFonts w:ascii="Arial" w:hAnsi="Arial" w:cs="Arial"/>
          <w:sz w:val="20"/>
          <w:szCs w:val="20"/>
        </w:rPr>
        <w:t>Pres</w:t>
      </w:r>
      <w:proofErr w:type="spellEnd"/>
      <w:r>
        <w:rPr>
          <w:rStyle w:val="Enfasicorsivo"/>
          <w:rFonts w:ascii="Arial" w:hAnsi="Arial" w:cs="Arial"/>
          <w:sz w:val="20"/>
          <w:szCs w:val="20"/>
        </w:rPr>
        <w:t>. Carbone - est. Corona)</w:t>
      </w:r>
    </w:p>
    <w:p w:rsidR="00DF3415" w:rsidRDefault="00DF3415" w:rsidP="00DF3415">
      <w:pPr>
        <w:pStyle w:val="NormaleWeb"/>
      </w:pPr>
      <w:r>
        <w:rPr>
          <w:rFonts w:ascii="Arial" w:hAnsi="Arial" w:cs="Arial"/>
          <w:sz w:val="20"/>
          <w:szCs w:val="20"/>
        </w:rPr>
        <w:t>REPUBBLICA ITALIANA</w:t>
      </w:r>
    </w:p>
    <w:p w:rsidR="00DF3415" w:rsidRDefault="00DF3415" w:rsidP="00DF3415">
      <w:pPr>
        <w:pStyle w:val="NormaleWeb"/>
      </w:pPr>
      <w:r>
        <w:rPr>
          <w:rFonts w:ascii="Arial" w:hAnsi="Arial" w:cs="Arial"/>
          <w:sz w:val="20"/>
          <w:szCs w:val="20"/>
        </w:rPr>
        <w:t>IN NOME DEL POPOLO ITALIANO</w:t>
      </w:r>
    </w:p>
    <w:p w:rsidR="00DF3415" w:rsidRDefault="00DF3415" w:rsidP="00DF3415">
      <w:pPr>
        <w:pStyle w:val="NormaleWeb"/>
      </w:pPr>
      <w:r>
        <w:rPr>
          <w:rFonts w:ascii="Arial" w:hAnsi="Arial" w:cs="Arial"/>
          <w:sz w:val="20"/>
          <w:szCs w:val="20"/>
        </w:rPr>
        <w:t>LA CORTE SUPREMA DI CASSAZIONE</w:t>
      </w:r>
    </w:p>
    <w:p w:rsidR="00DF3415" w:rsidRDefault="00DF3415" w:rsidP="00DF3415">
      <w:pPr>
        <w:pStyle w:val="NormaleWeb"/>
      </w:pPr>
      <w:r>
        <w:rPr>
          <w:rFonts w:ascii="Arial" w:hAnsi="Arial" w:cs="Arial"/>
          <w:sz w:val="20"/>
          <w:szCs w:val="20"/>
        </w:rPr>
        <w:t>SEZIONI UNITE CIVILI</w:t>
      </w:r>
    </w:p>
    <w:p w:rsidR="00DF3415" w:rsidRDefault="00DF3415" w:rsidP="00DF3415">
      <w:pPr>
        <w:pStyle w:val="NormaleWeb"/>
      </w:pPr>
      <w:r>
        <w:rPr>
          <w:rFonts w:ascii="Arial" w:hAnsi="Arial" w:cs="Arial"/>
          <w:sz w:val="20"/>
          <w:szCs w:val="20"/>
        </w:rPr>
        <w:t xml:space="preserve">Composta dagli Ill.mi </w:t>
      </w:r>
      <w:proofErr w:type="spellStart"/>
      <w:r>
        <w:rPr>
          <w:rStyle w:val="grame"/>
          <w:rFonts w:ascii="Arial" w:hAnsi="Arial" w:cs="Arial"/>
          <w:sz w:val="20"/>
          <w:szCs w:val="20"/>
        </w:rPr>
        <w:t>Sigg.ri</w:t>
      </w:r>
      <w:proofErr w:type="spellEnd"/>
      <w:r>
        <w:rPr>
          <w:rFonts w:ascii="Arial" w:hAnsi="Arial" w:cs="Arial"/>
          <w:sz w:val="20"/>
          <w:szCs w:val="20"/>
        </w:rPr>
        <w:t xml:space="preserve"> Magistrati:</w:t>
      </w:r>
    </w:p>
    <w:p w:rsidR="00DF3415" w:rsidRDefault="00DF3415" w:rsidP="00DF3415">
      <w:pPr>
        <w:pStyle w:val="NormaleWeb"/>
      </w:pPr>
      <w:r>
        <w:rPr>
          <w:rFonts w:ascii="Arial" w:hAnsi="Arial" w:cs="Arial"/>
          <w:sz w:val="20"/>
          <w:szCs w:val="20"/>
        </w:rPr>
        <w:t>Dott. CARBONE Vincenzo - Primo Presidente</w:t>
      </w:r>
    </w:p>
    <w:p w:rsidR="00DF3415" w:rsidRDefault="00DF3415" w:rsidP="00DF3415">
      <w:pPr>
        <w:pStyle w:val="NormaleWeb"/>
      </w:pPr>
      <w:r>
        <w:rPr>
          <w:rFonts w:ascii="Arial" w:hAnsi="Arial" w:cs="Arial"/>
          <w:sz w:val="20"/>
          <w:szCs w:val="20"/>
        </w:rPr>
        <w:t xml:space="preserve">Dott. CORONA Rafaele - </w:t>
      </w:r>
      <w:proofErr w:type="spellStart"/>
      <w:r>
        <w:rPr>
          <w:rFonts w:ascii="Arial" w:hAnsi="Arial" w:cs="Arial"/>
          <w:sz w:val="20"/>
          <w:szCs w:val="20"/>
        </w:rPr>
        <w:t>rel</w:t>
      </w:r>
      <w:proofErr w:type="spellEnd"/>
      <w:r>
        <w:rPr>
          <w:rFonts w:ascii="Arial" w:hAnsi="Arial" w:cs="Arial"/>
          <w:sz w:val="20"/>
          <w:szCs w:val="20"/>
        </w:rPr>
        <w:t xml:space="preserve">. Presidente di </w:t>
      </w:r>
      <w:r>
        <w:rPr>
          <w:rStyle w:val="grame"/>
          <w:rFonts w:ascii="Arial" w:hAnsi="Arial" w:cs="Arial"/>
          <w:sz w:val="20"/>
          <w:szCs w:val="20"/>
        </w:rPr>
        <w:t>sezione</w:t>
      </w:r>
    </w:p>
    <w:p w:rsidR="00DF3415" w:rsidRDefault="00DF3415" w:rsidP="00DF3415">
      <w:pPr>
        <w:pStyle w:val="NormaleWeb"/>
      </w:pPr>
      <w:r>
        <w:rPr>
          <w:rFonts w:ascii="Arial" w:hAnsi="Arial" w:cs="Arial"/>
          <w:sz w:val="20"/>
          <w:szCs w:val="20"/>
        </w:rPr>
        <w:t xml:space="preserve">Dott. MIANI CANEVARI Fabrizio - </w:t>
      </w:r>
      <w:r>
        <w:rPr>
          <w:rStyle w:val="grame"/>
          <w:rFonts w:ascii="Arial" w:hAnsi="Arial" w:cs="Arial"/>
          <w:sz w:val="20"/>
          <w:szCs w:val="20"/>
        </w:rPr>
        <w:t>Consigliere</w:t>
      </w:r>
    </w:p>
    <w:p w:rsidR="00DF3415" w:rsidRDefault="00DF3415" w:rsidP="00DF3415">
      <w:pPr>
        <w:pStyle w:val="NormaleWeb"/>
      </w:pPr>
      <w:r>
        <w:rPr>
          <w:rFonts w:ascii="Arial" w:hAnsi="Arial" w:cs="Arial"/>
          <w:sz w:val="20"/>
          <w:szCs w:val="20"/>
        </w:rPr>
        <w:t>Dott. VITRONE Ugo - Consigliere</w:t>
      </w:r>
    </w:p>
    <w:p w:rsidR="00DF3415" w:rsidRDefault="00DF3415" w:rsidP="00DF3415">
      <w:pPr>
        <w:pStyle w:val="NormaleWeb"/>
      </w:pPr>
      <w:r>
        <w:rPr>
          <w:rFonts w:ascii="Arial" w:hAnsi="Arial" w:cs="Arial"/>
          <w:sz w:val="20"/>
          <w:szCs w:val="20"/>
        </w:rPr>
        <w:t>Dott. VIDIRI Guido - Consigliere</w:t>
      </w:r>
    </w:p>
    <w:p w:rsidR="00DF3415" w:rsidRDefault="00DF3415" w:rsidP="00DF3415">
      <w:pPr>
        <w:pStyle w:val="NormaleWeb"/>
      </w:pPr>
      <w:r>
        <w:rPr>
          <w:rFonts w:ascii="Arial" w:hAnsi="Arial" w:cs="Arial"/>
          <w:sz w:val="20"/>
          <w:szCs w:val="20"/>
        </w:rPr>
        <w:t>Dott. SETTIMJ Giovanni - Consigliere</w:t>
      </w:r>
    </w:p>
    <w:p w:rsidR="00DF3415" w:rsidRDefault="00DF3415" w:rsidP="00DF3415">
      <w:pPr>
        <w:pStyle w:val="NormaleWeb"/>
      </w:pPr>
      <w:r>
        <w:rPr>
          <w:rFonts w:ascii="Arial" w:hAnsi="Arial" w:cs="Arial"/>
          <w:sz w:val="20"/>
          <w:szCs w:val="20"/>
        </w:rPr>
        <w:t>Dott. FINOCCHIARO Mario - Consigliere</w:t>
      </w:r>
    </w:p>
    <w:p w:rsidR="00DF3415" w:rsidRDefault="00DF3415" w:rsidP="00DF3415">
      <w:pPr>
        <w:pStyle w:val="NormaleWeb"/>
      </w:pPr>
      <w:r>
        <w:rPr>
          <w:rFonts w:ascii="Arial" w:hAnsi="Arial" w:cs="Arial"/>
          <w:sz w:val="20"/>
          <w:szCs w:val="20"/>
        </w:rPr>
        <w:t xml:space="preserve">Dott. </w:t>
      </w:r>
      <w:r>
        <w:rPr>
          <w:rStyle w:val="grame"/>
          <w:rFonts w:ascii="Arial" w:hAnsi="Arial" w:cs="Arial"/>
          <w:sz w:val="20"/>
          <w:szCs w:val="20"/>
        </w:rPr>
        <w:t xml:space="preserve">SALME' </w:t>
      </w:r>
      <w:r>
        <w:rPr>
          <w:rFonts w:ascii="Arial" w:hAnsi="Arial" w:cs="Arial"/>
          <w:sz w:val="20"/>
          <w:szCs w:val="20"/>
        </w:rPr>
        <w:t>Giuseppe - Consigliere</w:t>
      </w:r>
    </w:p>
    <w:p w:rsidR="00DF3415" w:rsidRDefault="00DF3415" w:rsidP="00DF3415">
      <w:pPr>
        <w:pStyle w:val="NormaleWeb"/>
      </w:pPr>
      <w:r>
        <w:rPr>
          <w:rFonts w:ascii="Arial" w:hAnsi="Arial" w:cs="Arial"/>
          <w:sz w:val="20"/>
          <w:szCs w:val="20"/>
        </w:rPr>
        <w:t>Dott. SEGRETO Antonio - Consigliere</w:t>
      </w:r>
    </w:p>
    <w:p w:rsidR="00DF3415" w:rsidRDefault="00DF3415" w:rsidP="00DF3415">
      <w:pPr>
        <w:pStyle w:val="NormaleWeb"/>
      </w:pPr>
      <w:r>
        <w:rPr>
          <w:rStyle w:val="grame"/>
          <w:rFonts w:ascii="Arial" w:hAnsi="Arial" w:cs="Arial"/>
          <w:sz w:val="20"/>
          <w:szCs w:val="20"/>
        </w:rPr>
        <w:t>ha</w:t>
      </w:r>
      <w:r>
        <w:rPr>
          <w:rFonts w:ascii="Arial" w:hAnsi="Arial" w:cs="Arial"/>
          <w:sz w:val="20"/>
          <w:szCs w:val="20"/>
        </w:rPr>
        <w:t xml:space="preserve"> pronunciato la seguente:</w:t>
      </w:r>
    </w:p>
    <w:p w:rsidR="00DF3415" w:rsidRDefault="00DF3415" w:rsidP="00DF3415">
      <w:pPr>
        <w:pStyle w:val="NormaleWeb"/>
      </w:pPr>
      <w:r>
        <w:rPr>
          <w:rFonts w:ascii="Arial" w:hAnsi="Arial" w:cs="Arial"/>
          <w:sz w:val="20"/>
          <w:szCs w:val="20"/>
        </w:rPr>
        <w:t>sentenza</w:t>
      </w:r>
    </w:p>
    <w:p w:rsidR="00DF3415" w:rsidRDefault="00DF3415" w:rsidP="00DF3415">
      <w:pPr>
        <w:pStyle w:val="NormaleWeb"/>
      </w:pPr>
      <w:r>
        <w:rPr>
          <w:rStyle w:val="grame"/>
          <w:rFonts w:ascii="Arial" w:hAnsi="Arial" w:cs="Arial"/>
          <w:sz w:val="20"/>
          <w:szCs w:val="20"/>
        </w:rPr>
        <w:t>sul</w:t>
      </w:r>
      <w:r>
        <w:rPr>
          <w:rFonts w:ascii="Arial" w:hAnsi="Arial" w:cs="Arial"/>
          <w:sz w:val="20"/>
          <w:szCs w:val="20"/>
        </w:rPr>
        <w:t xml:space="preserve"> ricorso proposto da:</w:t>
      </w:r>
    </w:p>
    <w:p w:rsidR="00DF3415" w:rsidRDefault="00DF3415" w:rsidP="00DF3415">
      <w:pPr>
        <w:pStyle w:val="NormaleWeb"/>
      </w:pPr>
      <w:r>
        <w:rPr>
          <w:rFonts w:ascii="Arial" w:hAnsi="Arial" w:cs="Arial"/>
          <w:sz w:val="20"/>
          <w:szCs w:val="20"/>
        </w:rPr>
        <w:t xml:space="preserve">SOCIETA' E. </w:t>
      </w:r>
      <w:r>
        <w:rPr>
          <w:rStyle w:val="grame"/>
          <w:rFonts w:ascii="Arial" w:hAnsi="Arial" w:cs="Arial"/>
          <w:sz w:val="20"/>
          <w:szCs w:val="20"/>
        </w:rPr>
        <w:t>S.R.L</w:t>
      </w:r>
      <w:r>
        <w:rPr>
          <w:rFonts w:ascii="Arial" w:hAnsi="Arial" w:cs="Arial"/>
          <w:sz w:val="20"/>
          <w:szCs w:val="20"/>
        </w:rPr>
        <w:t>., in persona del legale rappresentante pro-</w:t>
      </w:r>
    </w:p>
    <w:p w:rsidR="00DF3415" w:rsidRDefault="00DF3415" w:rsidP="00DF3415">
      <w:pPr>
        <w:pStyle w:val="NormaleWeb"/>
      </w:pPr>
      <w:r>
        <w:rPr>
          <w:rStyle w:val="grame"/>
          <w:rFonts w:ascii="Arial" w:hAnsi="Arial" w:cs="Arial"/>
          <w:sz w:val="20"/>
          <w:szCs w:val="20"/>
        </w:rPr>
        <w:t>tempore</w:t>
      </w:r>
      <w:r>
        <w:rPr>
          <w:rFonts w:ascii="Arial" w:hAnsi="Arial" w:cs="Arial"/>
          <w:sz w:val="20"/>
          <w:szCs w:val="20"/>
        </w:rPr>
        <w:t>, elettivamente domiciliata in ROMA, VIA SARDEGNA 29, presso lo studio dell'avvocato VASI GIORGIO, che la rappresenta e difende unitamente all'avvocato PIERLUIGI COLIVA, giusta delega in calce al ricorso;</w:t>
      </w:r>
    </w:p>
    <w:p w:rsidR="00DF3415" w:rsidRDefault="00DF3415" w:rsidP="00DF3415">
      <w:pPr>
        <w:pStyle w:val="NormaleWeb"/>
      </w:pPr>
      <w:r>
        <w:rPr>
          <w:rFonts w:ascii="Arial" w:hAnsi="Arial" w:cs="Arial"/>
          <w:sz w:val="20"/>
          <w:szCs w:val="20"/>
        </w:rPr>
        <w:t>- ricorrente -</w:t>
      </w:r>
    </w:p>
    <w:p w:rsidR="00DF3415" w:rsidRDefault="00DF3415" w:rsidP="00DF3415">
      <w:pPr>
        <w:pStyle w:val="NormaleWeb"/>
      </w:pPr>
      <w:r>
        <w:rPr>
          <w:rFonts w:ascii="Arial" w:hAnsi="Arial" w:cs="Arial"/>
          <w:sz w:val="20"/>
          <w:szCs w:val="20"/>
        </w:rPr>
        <w:t>contro</w:t>
      </w:r>
    </w:p>
    <w:p w:rsidR="00DF3415" w:rsidRDefault="00DF3415" w:rsidP="00DF3415">
      <w:pPr>
        <w:pStyle w:val="NormaleWeb"/>
      </w:pPr>
      <w:r>
        <w:rPr>
          <w:rStyle w:val="grame"/>
          <w:rFonts w:ascii="Arial" w:hAnsi="Arial" w:cs="Arial"/>
          <w:sz w:val="20"/>
          <w:szCs w:val="20"/>
        </w:rPr>
        <w:lastRenderedPageBreak/>
        <w:t>R.A</w:t>
      </w:r>
      <w:r>
        <w:rPr>
          <w:rFonts w:ascii="Arial" w:hAnsi="Arial" w:cs="Arial"/>
          <w:sz w:val="20"/>
          <w:szCs w:val="20"/>
        </w:rPr>
        <w:t>., RA.AD., RA.AL., elettivamente domiciliati in ROMA, VIA G. SCARABELLI 21, presso lo studio dell'avvocato RUPERTO TOMMASO, che li rappresenta e difende unitamente all'avvocato CLAUDIO CHIURAZZI, giuste deleghe a margine dei controricorsi;</w:t>
      </w:r>
    </w:p>
    <w:p w:rsidR="00DF3415" w:rsidRDefault="00DF3415" w:rsidP="00DF3415">
      <w:pPr>
        <w:pStyle w:val="NormaleWeb"/>
      </w:pPr>
      <w:r>
        <w:rPr>
          <w:rFonts w:ascii="Arial" w:hAnsi="Arial" w:cs="Arial"/>
          <w:sz w:val="20"/>
          <w:szCs w:val="20"/>
        </w:rPr>
        <w:t>- controricorrenti -</w:t>
      </w:r>
    </w:p>
    <w:p w:rsidR="00DF3415" w:rsidRDefault="00DF3415" w:rsidP="00DF3415">
      <w:pPr>
        <w:pStyle w:val="NormaleWeb"/>
      </w:pPr>
      <w:r>
        <w:rPr>
          <w:rStyle w:val="grame"/>
          <w:rFonts w:ascii="Arial" w:hAnsi="Arial" w:cs="Arial"/>
          <w:sz w:val="20"/>
          <w:szCs w:val="20"/>
        </w:rPr>
        <w:t>e</w:t>
      </w:r>
      <w:r>
        <w:rPr>
          <w:rFonts w:ascii="Arial" w:hAnsi="Arial" w:cs="Arial"/>
          <w:sz w:val="20"/>
          <w:szCs w:val="20"/>
        </w:rPr>
        <w:t xml:space="preserve"> contro</w:t>
      </w:r>
    </w:p>
    <w:p w:rsidR="00DF3415" w:rsidRDefault="00DF3415" w:rsidP="00DF3415">
      <w:pPr>
        <w:pStyle w:val="NormaleWeb"/>
      </w:pPr>
      <w:r>
        <w:rPr>
          <w:rFonts w:ascii="Arial" w:hAnsi="Arial" w:cs="Arial"/>
          <w:sz w:val="20"/>
          <w:szCs w:val="20"/>
        </w:rPr>
        <w:t>CONDOMINIO VIA ***;</w:t>
      </w:r>
    </w:p>
    <w:p w:rsidR="00DF3415" w:rsidRDefault="00DF3415" w:rsidP="00DF3415">
      <w:pPr>
        <w:pStyle w:val="NormaleWeb"/>
      </w:pPr>
      <w:r>
        <w:rPr>
          <w:rFonts w:ascii="Arial" w:hAnsi="Arial" w:cs="Arial"/>
          <w:sz w:val="20"/>
          <w:szCs w:val="20"/>
        </w:rPr>
        <w:t>- intimato -</w:t>
      </w:r>
    </w:p>
    <w:p w:rsidR="00DF3415" w:rsidRDefault="00DF3415" w:rsidP="00DF3415">
      <w:pPr>
        <w:pStyle w:val="NormaleWeb"/>
      </w:pPr>
      <w:r>
        <w:rPr>
          <w:rStyle w:val="grame"/>
          <w:rFonts w:ascii="Arial" w:hAnsi="Arial" w:cs="Arial"/>
          <w:sz w:val="20"/>
          <w:szCs w:val="20"/>
        </w:rPr>
        <w:t>avverso</w:t>
      </w:r>
      <w:r>
        <w:rPr>
          <w:rFonts w:ascii="Arial" w:hAnsi="Arial" w:cs="Arial"/>
          <w:sz w:val="20"/>
          <w:szCs w:val="20"/>
        </w:rPr>
        <w:t xml:space="preserve"> la sentenza n. 305/03 della Corte d'Appello di BOLOGNA, depositata il 19/02/03;</w:t>
      </w:r>
    </w:p>
    <w:p w:rsidR="00DF3415" w:rsidRDefault="00DF3415" w:rsidP="00DF3415">
      <w:pPr>
        <w:pStyle w:val="NormaleWeb"/>
      </w:pPr>
      <w:r>
        <w:rPr>
          <w:rStyle w:val="grame"/>
          <w:rFonts w:ascii="Arial" w:hAnsi="Arial" w:cs="Arial"/>
          <w:sz w:val="20"/>
          <w:szCs w:val="20"/>
        </w:rPr>
        <w:t>udita</w:t>
      </w:r>
      <w:r>
        <w:rPr>
          <w:rFonts w:ascii="Arial" w:hAnsi="Arial" w:cs="Arial"/>
          <w:sz w:val="20"/>
          <w:szCs w:val="20"/>
        </w:rPr>
        <w:t xml:space="preserve"> la relazione della causa svolta nella Pubblica udienza del 04/03/08 dal Presidente Dott. </w:t>
      </w:r>
      <w:proofErr w:type="spellStart"/>
      <w:r>
        <w:rPr>
          <w:rFonts w:ascii="Arial" w:hAnsi="Arial" w:cs="Arial"/>
          <w:sz w:val="20"/>
          <w:szCs w:val="20"/>
        </w:rPr>
        <w:t>Rafale</w:t>
      </w:r>
      <w:proofErr w:type="spellEnd"/>
      <w:r>
        <w:rPr>
          <w:rFonts w:ascii="Arial" w:hAnsi="Arial" w:cs="Arial"/>
          <w:sz w:val="20"/>
          <w:szCs w:val="20"/>
        </w:rPr>
        <w:t xml:space="preserve"> CORONA;</w:t>
      </w:r>
    </w:p>
    <w:p w:rsidR="00DF3415" w:rsidRDefault="00DF3415" w:rsidP="00DF3415">
      <w:pPr>
        <w:pStyle w:val="NormaleWeb"/>
      </w:pPr>
      <w:r>
        <w:rPr>
          <w:rStyle w:val="grame"/>
          <w:rFonts w:ascii="Arial" w:hAnsi="Arial" w:cs="Arial"/>
          <w:sz w:val="20"/>
          <w:szCs w:val="20"/>
        </w:rPr>
        <w:t>uditi</w:t>
      </w:r>
      <w:r>
        <w:rPr>
          <w:rFonts w:ascii="Arial" w:hAnsi="Arial" w:cs="Arial"/>
          <w:sz w:val="20"/>
          <w:szCs w:val="20"/>
        </w:rPr>
        <w:t xml:space="preserve"> gli avvocati Pierluigi COLIVA, Claudio CHIURAZZI;</w:t>
      </w:r>
    </w:p>
    <w:p w:rsidR="00DF3415" w:rsidRDefault="00DF3415" w:rsidP="00DF3415">
      <w:pPr>
        <w:pStyle w:val="NormaleWeb"/>
      </w:pPr>
      <w:r>
        <w:rPr>
          <w:rStyle w:val="grame"/>
          <w:rFonts w:ascii="Arial" w:hAnsi="Arial" w:cs="Arial"/>
          <w:sz w:val="20"/>
          <w:szCs w:val="20"/>
        </w:rPr>
        <w:t>udito</w:t>
      </w:r>
      <w:r>
        <w:rPr>
          <w:rFonts w:ascii="Arial" w:hAnsi="Arial" w:cs="Arial"/>
          <w:sz w:val="20"/>
          <w:szCs w:val="20"/>
        </w:rPr>
        <w:t xml:space="preserve"> il P.M. in persona dell'Avvocato Generale Dott. IANNELLI Domenico, che ha concluso per l'accoglimento del primo motivo, assorbiti gli altri motivi.</w:t>
      </w:r>
    </w:p>
    <w:p w:rsidR="00DF3415" w:rsidRDefault="00DF3415" w:rsidP="00DF3415">
      <w:pPr>
        <w:pStyle w:val="NormaleWeb"/>
        <w:jc w:val="center"/>
      </w:pPr>
      <w:r>
        <w:rPr>
          <w:rFonts w:ascii="Arial" w:hAnsi="Arial" w:cs="Arial"/>
          <w:b/>
          <w:bCs/>
          <w:sz w:val="20"/>
          <w:szCs w:val="20"/>
        </w:rPr>
        <w:t>Svolgimento del processo</w:t>
      </w:r>
    </w:p>
    <w:p w:rsidR="00DF3415" w:rsidRDefault="00DF3415" w:rsidP="00DF3415">
      <w:pPr>
        <w:pStyle w:val="NormaleWeb"/>
      </w:pPr>
      <w:r>
        <w:rPr>
          <w:rFonts w:ascii="Arial" w:hAnsi="Arial" w:cs="Arial"/>
          <w:sz w:val="20"/>
          <w:szCs w:val="20"/>
        </w:rPr>
        <w:t xml:space="preserve">Con Decreto 24 marzo 1884, il Presidente del Tribunale di Bologna ingiunse al Condominio </w:t>
      </w:r>
      <w:r>
        <w:rPr>
          <w:rStyle w:val="grame"/>
          <w:rFonts w:ascii="Arial" w:hAnsi="Arial" w:cs="Arial"/>
          <w:sz w:val="20"/>
          <w:szCs w:val="20"/>
        </w:rPr>
        <w:t>di</w:t>
      </w:r>
      <w:r>
        <w:rPr>
          <w:rFonts w:ascii="Arial" w:hAnsi="Arial" w:cs="Arial"/>
          <w:sz w:val="20"/>
          <w:szCs w:val="20"/>
        </w:rPr>
        <w:t xml:space="preserve"> via ***, ***, ed ai condomini A., Ad. </w:t>
      </w:r>
      <w:r>
        <w:rPr>
          <w:rStyle w:val="grame"/>
          <w:rFonts w:ascii="Arial" w:hAnsi="Arial" w:cs="Arial"/>
          <w:sz w:val="20"/>
          <w:szCs w:val="20"/>
        </w:rPr>
        <w:t>e</w:t>
      </w:r>
      <w:r>
        <w:rPr>
          <w:rFonts w:ascii="Arial" w:hAnsi="Arial" w:cs="Arial"/>
          <w:sz w:val="20"/>
          <w:szCs w:val="20"/>
        </w:rPr>
        <w:t xml:space="preserve"> </w:t>
      </w:r>
      <w:proofErr w:type="spellStart"/>
      <w:r>
        <w:rPr>
          <w:rFonts w:ascii="Arial" w:hAnsi="Arial" w:cs="Arial"/>
          <w:sz w:val="20"/>
          <w:szCs w:val="20"/>
        </w:rPr>
        <w:t>Ra.Al</w:t>
      </w:r>
      <w:proofErr w:type="spellEnd"/>
      <w:r>
        <w:rPr>
          <w:rFonts w:ascii="Arial" w:hAnsi="Arial" w:cs="Arial"/>
          <w:sz w:val="20"/>
          <w:szCs w:val="20"/>
        </w:rPr>
        <w:t xml:space="preserve">., C.U., B.G., M.D., T.A. ed alla società I.B.O. s.r.l. </w:t>
      </w:r>
      <w:r>
        <w:rPr>
          <w:rStyle w:val="grame"/>
          <w:rFonts w:ascii="Arial" w:hAnsi="Arial" w:cs="Arial"/>
          <w:sz w:val="20"/>
          <w:szCs w:val="20"/>
        </w:rPr>
        <w:t>di</w:t>
      </w:r>
      <w:r>
        <w:rPr>
          <w:rFonts w:ascii="Arial" w:hAnsi="Arial" w:cs="Arial"/>
          <w:sz w:val="20"/>
          <w:szCs w:val="20"/>
        </w:rPr>
        <w:t xml:space="preserve"> pagare alla E. s.r.l. </w:t>
      </w:r>
      <w:r>
        <w:rPr>
          <w:rStyle w:val="grame"/>
          <w:rFonts w:ascii="Arial" w:hAnsi="Arial" w:cs="Arial"/>
          <w:sz w:val="20"/>
          <w:szCs w:val="20"/>
        </w:rPr>
        <w:t>L. 66.800.276, quale residuo del corrispettivo per i lavori eseguiti nell'edificio condominiale.</w:t>
      </w:r>
    </w:p>
    <w:p w:rsidR="00DF3415" w:rsidRDefault="00DF3415" w:rsidP="00DF3415">
      <w:pPr>
        <w:pStyle w:val="NormaleWeb"/>
      </w:pPr>
      <w:r>
        <w:rPr>
          <w:rFonts w:ascii="Arial" w:hAnsi="Arial" w:cs="Arial"/>
          <w:sz w:val="20"/>
          <w:szCs w:val="20"/>
        </w:rPr>
        <w:t xml:space="preserve">Proposero opposizione con distinti atti di citazione A. e </w:t>
      </w:r>
      <w:proofErr w:type="spellStart"/>
      <w:r>
        <w:rPr>
          <w:rStyle w:val="grame"/>
          <w:rFonts w:ascii="Arial" w:hAnsi="Arial" w:cs="Arial"/>
          <w:sz w:val="20"/>
          <w:szCs w:val="20"/>
        </w:rPr>
        <w:t>Ra.Ad</w:t>
      </w:r>
      <w:proofErr w:type="spellEnd"/>
      <w:r>
        <w:rPr>
          <w:rFonts w:ascii="Arial" w:hAnsi="Arial" w:cs="Arial"/>
          <w:sz w:val="20"/>
          <w:szCs w:val="20"/>
        </w:rPr>
        <w:t xml:space="preserve">., le quali dedussero l'inammissibilità della duplice condanna emessa sia a carico del condominio, sia nei loro confronti in via solidale, posto che avevano adempiuto pro quota alle obbligazioni assunte nei confronti della società E.; R. A. asserì di aver acquistato il solo diritto </w:t>
      </w:r>
      <w:r>
        <w:rPr>
          <w:rStyle w:val="grame"/>
          <w:rFonts w:ascii="Arial" w:hAnsi="Arial" w:cs="Arial"/>
          <w:sz w:val="20"/>
          <w:szCs w:val="20"/>
        </w:rPr>
        <w:t xml:space="preserve">di </w:t>
      </w:r>
      <w:r>
        <w:rPr>
          <w:rFonts w:ascii="Arial" w:hAnsi="Arial" w:cs="Arial"/>
          <w:sz w:val="20"/>
          <w:szCs w:val="20"/>
        </w:rPr>
        <w:t>usufrutto di una unità immobiliare in data 2 giugno 1993, quando i lavori commessi alla società E. erano stati già ultimati: in ogni caso, trattandosi di spese riguardanti opere di manutenzione straordinaria, esse erano a carico del nudo proprietario.</w:t>
      </w:r>
    </w:p>
    <w:p w:rsidR="00DF3415" w:rsidRDefault="00DF3415" w:rsidP="00DF3415">
      <w:pPr>
        <w:pStyle w:val="NormaleWeb"/>
      </w:pPr>
      <w:r>
        <w:rPr>
          <w:rFonts w:ascii="Arial" w:hAnsi="Arial" w:cs="Arial"/>
          <w:sz w:val="20"/>
          <w:szCs w:val="20"/>
        </w:rPr>
        <w:t xml:space="preserve">Riuniti i giudizi e chiamati in causa il Condominio, i condomini </w:t>
      </w:r>
      <w:r>
        <w:rPr>
          <w:rStyle w:val="grame"/>
          <w:rFonts w:ascii="Arial" w:hAnsi="Arial" w:cs="Arial"/>
          <w:sz w:val="20"/>
          <w:szCs w:val="20"/>
        </w:rPr>
        <w:t>Q.I</w:t>
      </w:r>
      <w:r>
        <w:rPr>
          <w:rFonts w:ascii="Arial" w:hAnsi="Arial" w:cs="Arial"/>
          <w:sz w:val="20"/>
          <w:szCs w:val="20"/>
        </w:rPr>
        <w:t xml:space="preserve">., B.T. </w:t>
      </w:r>
      <w:r>
        <w:rPr>
          <w:rStyle w:val="grame"/>
          <w:rFonts w:ascii="Arial" w:hAnsi="Arial" w:cs="Arial"/>
          <w:sz w:val="20"/>
          <w:szCs w:val="20"/>
        </w:rPr>
        <w:t>e</w:t>
      </w:r>
      <w:r>
        <w:rPr>
          <w:rFonts w:ascii="Arial" w:hAnsi="Arial" w:cs="Arial"/>
          <w:sz w:val="20"/>
          <w:szCs w:val="20"/>
        </w:rPr>
        <w:t xml:space="preserve"> la società I.B.O. s.r.l., i quali chiesero il rigetto della domanda proposta con il ricorso per ingiunzione, con sentenza 28 aprile 2000 il Tribunale di Bologna revocò il decreto; con sentenza 19 febbraio 2003, la Corte d'Appello di Bologna respinse l'impugnazione proposta dalla società E..</w:t>
      </w:r>
    </w:p>
    <w:p w:rsidR="00DF3415" w:rsidRDefault="00DF3415" w:rsidP="00DF3415">
      <w:pPr>
        <w:pStyle w:val="NormaleWeb"/>
      </w:pPr>
      <w:r>
        <w:rPr>
          <w:rFonts w:ascii="Arial" w:hAnsi="Arial" w:cs="Arial"/>
          <w:sz w:val="20"/>
          <w:szCs w:val="20"/>
        </w:rPr>
        <w:t xml:space="preserve">Ha proposto ricorso per Cassazione con sei motivi la società E.; hanno resistito con controricorso A., Ad. </w:t>
      </w:r>
      <w:r>
        <w:rPr>
          <w:rStyle w:val="grame"/>
          <w:rFonts w:ascii="Arial" w:hAnsi="Arial" w:cs="Arial"/>
          <w:sz w:val="20"/>
          <w:szCs w:val="20"/>
        </w:rPr>
        <w:t>e</w:t>
      </w:r>
      <w:r>
        <w:rPr>
          <w:rFonts w:ascii="Arial" w:hAnsi="Arial" w:cs="Arial"/>
          <w:sz w:val="20"/>
          <w:szCs w:val="20"/>
        </w:rPr>
        <w:t xml:space="preserve"> </w:t>
      </w:r>
      <w:proofErr w:type="spellStart"/>
      <w:r>
        <w:rPr>
          <w:rFonts w:ascii="Arial" w:hAnsi="Arial" w:cs="Arial"/>
          <w:sz w:val="20"/>
          <w:szCs w:val="20"/>
        </w:rPr>
        <w:t>Ra.Al</w:t>
      </w:r>
      <w:proofErr w:type="spellEnd"/>
      <w:r>
        <w:rPr>
          <w:rFonts w:ascii="Arial" w:hAnsi="Arial" w:cs="Arial"/>
          <w:sz w:val="20"/>
          <w:szCs w:val="20"/>
        </w:rPr>
        <w:t>.. Non ha svolto attività difensiva l'intimato Condominio via ***, in persona dell'amministratore in carica.</w:t>
      </w:r>
    </w:p>
    <w:p w:rsidR="00DF3415" w:rsidRDefault="00DF3415" w:rsidP="00DF3415">
      <w:pPr>
        <w:pStyle w:val="NormaleWeb"/>
      </w:pPr>
      <w:r>
        <w:rPr>
          <w:rFonts w:ascii="Arial" w:hAnsi="Arial" w:cs="Arial"/>
          <w:sz w:val="20"/>
          <w:szCs w:val="20"/>
        </w:rPr>
        <w:t xml:space="preserve">La Seconda Sezione civile, con ordinanza 7 febbraio 2007, n. 2621, ha rimesso gli atti al Primo Presidente, avendo ritenuto la sussistenza di un contrasto all'interno della sezione, posto che per un primo indirizzo (maggioritario) la responsabilità dei singoli condomini per le obbligazioni assunte dal condominio verso terzi avrebbe natura solidale, mentre per un secondo orientamento, </w:t>
      </w:r>
      <w:r>
        <w:rPr>
          <w:rStyle w:val="grame"/>
          <w:rFonts w:ascii="Arial" w:hAnsi="Arial" w:cs="Arial"/>
          <w:sz w:val="20"/>
          <w:szCs w:val="20"/>
        </w:rPr>
        <w:t>decisamente</w:t>
      </w:r>
      <w:r>
        <w:rPr>
          <w:rFonts w:ascii="Arial" w:hAnsi="Arial" w:cs="Arial"/>
          <w:sz w:val="20"/>
          <w:szCs w:val="20"/>
        </w:rPr>
        <w:t xml:space="preserve"> minoritario, avrebbe vigore il principio della parziarietà, ovverosia dalla ripartizione tra i condomini delle obbligazioni assunte nell'interesse del condominio in proporzione alle rispettive quote.</w:t>
      </w:r>
    </w:p>
    <w:p w:rsidR="00DF3415" w:rsidRDefault="00DF3415" w:rsidP="00DF3415">
      <w:pPr>
        <w:pStyle w:val="NormaleWeb"/>
      </w:pPr>
      <w:r>
        <w:rPr>
          <w:rFonts w:ascii="Arial" w:hAnsi="Arial" w:cs="Arial"/>
          <w:sz w:val="20"/>
          <w:szCs w:val="20"/>
        </w:rPr>
        <w:t xml:space="preserve">Per la risoluzione del </w:t>
      </w:r>
      <w:r>
        <w:rPr>
          <w:rStyle w:val="grame"/>
          <w:rFonts w:ascii="Arial" w:hAnsi="Arial" w:cs="Arial"/>
          <w:sz w:val="20"/>
          <w:szCs w:val="20"/>
        </w:rPr>
        <w:t>contrasto la</w:t>
      </w:r>
      <w:r>
        <w:rPr>
          <w:rFonts w:ascii="Arial" w:hAnsi="Arial" w:cs="Arial"/>
          <w:sz w:val="20"/>
          <w:szCs w:val="20"/>
        </w:rPr>
        <w:t xml:space="preserve"> causa viene alle Sezioni Unite civili.</w:t>
      </w:r>
    </w:p>
    <w:p w:rsidR="00DF3415" w:rsidRDefault="00DF3415" w:rsidP="00DF3415">
      <w:pPr>
        <w:pStyle w:val="NormaleWeb"/>
        <w:jc w:val="center"/>
      </w:pPr>
      <w:r>
        <w:rPr>
          <w:rFonts w:ascii="Arial" w:hAnsi="Arial" w:cs="Arial"/>
          <w:b/>
          <w:bCs/>
          <w:sz w:val="20"/>
          <w:szCs w:val="20"/>
        </w:rPr>
        <w:t>Motivi della decisione</w:t>
      </w:r>
    </w:p>
    <w:p w:rsidR="00DF3415" w:rsidRDefault="00DF3415" w:rsidP="00DF3415">
      <w:pPr>
        <w:pStyle w:val="NormaleWeb"/>
      </w:pPr>
      <w:r>
        <w:rPr>
          <w:rFonts w:ascii="Arial" w:hAnsi="Arial" w:cs="Arial"/>
          <w:sz w:val="20"/>
          <w:szCs w:val="20"/>
        </w:rPr>
        <w:t>La società ricorrente lamenta:</w:t>
      </w:r>
    </w:p>
    <w:p w:rsidR="00DF3415" w:rsidRDefault="00DF3415" w:rsidP="00DF3415">
      <w:pPr>
        <w:pStyle w:val="NormaleWeb"/>
      </w:pPr>
      <w:r>
        <w:rPr>
          <w:rFonts w:ascii="Arial" w:hAnsi="Arial" w:cs="Arial"/>
          <w:sz w:val="20"/>
          <w:szCs w:val="20"/>
        </w:rPr>
        <w:t>1.1 con il primo motivo, violazione e falsa applicazione degli artt. 1115 e 1139 cod. civ</w:t>
      </w:r>
      <w:r>
        <w:rPr>
          <w:rStyle w:val="grame"/>
          <w:rFonts w:ascii="Arial" w:hAnsi="Arial" w:cs="Arial"/>
          <w:sz w:val="20"/>
          <w:szCs w:val="20"/>
        </w:rPr>
        <w:t>.,</w:t>
      </w:r>
      <w:r>
        <w:rPr>
          <w:rFonts w:ascii="Arial" w:hAnsi="Arial" w:cs="Arial"/>
          <w:sz w:val="20"/>
          <w:szCs w:val="20"/>
        </w:rPr>
        <w:t xml:space="preserve"> in relazione all'art. 360 n. 3, cod. </w:t>
      </w:r>
      <w:proofErr w:type="spellStart"/>
      <w:r>
        <w:rPr>
          <w:rFonts w:ascii="Arial" w:hAnsi="Arial" w:cs="Arial"/>
          <w:sz w:val="20"/>
          <w:szCs w:val="20"/>
        </w:rPr>
        <w:t>proc</w:t>
      </w:r>
      <w:proofErr w:type="spellEnd"/>
      <w:r>
        <w:rPr>
          <w:rFonts w:ascii="Arial" w:hAnsi="Arial" w:cs="Arial"/>
          <w:sz w:val="20"/>
          <w:szCs w:val="20"/>
        </w:rPr>
        <w:t xml:space="preserve">. </w:t>
      </w:r>
      <w:r>
        <w:rPr>
          <w:rStyle w:val="grame"/>
          <w:rFonts w:ascii="Arial" w:hAnsi="Arial" w:cs="Arial"/>
          <w:sz w:val="20"/>
          <w:szCs w:val="20"/>
        </w:rPr>
        <w:t>civ.</w:t>
      </w:r>
      <w:r>
        <w:rPr>
          <w:rFonts w:ascii="Arial" w:hAnsi="Arial" w:cs="Arial"/>
          <w:sz w:val="20"/>
          <w:szCs w:val="20"/>
        </w:rPr>
        <w:t xml:space="preserve"> La giurisprudenza dominante, anche successivamente all'isolata sentenza n. 8530 </w:t>
      </w:r>
      <w:r>
        <w:rPr>
          <w:rFonts w:ascii="Arial" w:hAnsi="Arial" w:cs="Arial"/>
          <w:sz w:val="20"/>
          <w:szCs w:val="20"/>
        </w:rPr>
        <w:lastRenderedPageBreak/>
        <w:t>del 1996, che aveva affermato la parziarietà, ha sempre sostenuto e continua a sostenere la natura solidale delle obbligazioni dei condomini;</w:t>
      </w:r>
    </w:p>
    <w:p w:rsidR="00DF3415" w:rsidRDefault="00DF3415" w:rsidP="00DF3415">
      <w:pPr>
        <w:pStyle w:val="NormaleWeb"/>
      </w:pPr>
      <w:r>
        <w:rPr>
          <w:rFonts w:ascii="Arial" w:hAnsi="Arial" w:cs="Arial"/>
          <w:sz w:val="20"/>
          <w:szCs w:val="20"/>
        </w:rPr>
        <w:t>1.2 con il secondo motivo, falsa applicazione degli artt. 1004 e 1005 cod. civ</w:t>
      </w:r>
      <w:r>
        <w:rPr>
          <w:rStyle w:val="grame"/>
          <w:rFonts w:ascii="Arial" w:hAnsi="Arial" w:cs="Arial"/>
          <w:sz w:val="20"/>
          <w:szCs w:val="20"/>
        </w:rPr>
        <w:t>.,</w:t>
      </w:r>
      <w:r>
        <w:rPr>
          <w:rFonts w:ascii="Arial" w:hAnsi="Arial" w:cs="Arial"/>
          <w:sz w:val="20"/>
          <w:szCs w:val="20"/>
        </w:rPr>
        <w:t xml:space="preserve"> ai senso dell'art. 360 n. 3 cod. </w:t>
      </w:r>
      <w:proofErr w:type="spellStart"/>
      <w:r>
        <w:rPr>
          <w:rFonts w:ascii="Arial" w:hAnsi="Arial" w:cs="Arial"/>
          <w:sz w:val="20"/>
          <w:szCs w:val="20"/>
        </w:rPr>
        <w:t>proc</w:t>
      </w:r>
      <w:proofErr w:type="spellEnd"/>
      <w:r>
        <w:rPr>
          <w:rFonts w:ascii="Arial" w:hAnsi="Arial" w:cs="Arial"/>
          <w:sz w:val="20"/>
          <w:szCs w:val="20"/>
        </w:rPr>
        <w:t xml:space="preserve">. </w:t>
      </w:r>
      <w:r>
        <w:rPr>
          <w:rStyle w:val="grame"/>
          <w:rFonts w:ascii="Arial" w:hAnsi="Arial" w:cs="Arial"/>
          <w:sz w:val="20"/>
          <w:szCs w:val="20"/>
        </w:rPr>
        <w:t>civ</w:t>
      </w:r>
      <w:r>
        <w:rPr>
          <w:rFonts w:ascii="Arial" w:hAnsi="Arial" w:cs="Arial"/>
          <w:sz w:val="20"/>
          <w:szCs w:val="20"/>
        </w:rPr>
        <w:t>., posto che la ripartizione delle spese fra nudo proprietario usufruttuario operano nei rapporti interni e non sono opponibili al terzo creditore;</w:t>
      </w:r>
    </w:p>
    <w:p w:rsidR="00DF3415" w:rsidRDefault="00DF3415" w:rsidP="00DF3415">
      <w:pPr>
        <w:pStyle w:val="NormaleWeb"/>
      </w:pPr>
      <w:r>
        <w:rPr>
          <w:rFonts w:ascii="Arial" w:hAnsi="Arial" w:cs="Arial"/>
          <w:sz w:val="20"/>
          <w:szCs w:val="20"/>
        </w:rPr>
        <w:t xml:space="preserve">1.3 con il terzo motivo, violazione dell'art. 112 cod. </w:t>
      </w:r>
      <w:proofErr w:type="spellStart"/>
      <w:r>
        <w:rPr>
          <w:rFonts w:ascii="Arial" w:hAnsi="Arial" w:cs="Arial"/>
          <w:sz w:val="20"/>
          <w:szCs w:val="20"/>
        </w:rPr>
        <w:t>proc</w:t>
      </w:r>
      <w:proofErr w:type="spellEnd"/>
      <w:r>
        <w:rPr>
          <w:rFonts w:ascii="Arial" w:hAnsi="Arial" w:cs="Arial"/>
          <w:sz w:val="20"/>
          <w:szCs w:val="20"/>
        </w:rPr>
        <w:t xml:space="preserve">. </w:t>
      </w:r>
      <w:r>
        <w:rPr>
          <w:rStyle w:val="grame"/>
          <w:rFonts w:ascii="Arial" w:hAnsi="Arial" w:cs="Arial"/>
          <w:sz w:val="20"/>
          <w:szCs w:val="20"/>
        </w:rPr>
        <w:t>c</w:t>
      </w:r>
      <w:r>
        <w:rPr>
          <w:rFonts w:ascii="Arial" w:hAnsi="Arial" w:cs="Arial"/>
          <w:sz w:val="20"/>
          <w:szCs w:val="20"/>
        </w:rPr>
        <w:t xml:space="preserve">iv., in relazione all'art. 360 n. 3 cod. </w:t>
      </w:r>
      <w:proofErr w:type="spellStart"/>
      <w:r>
        <w:rPr>
          <w:rFonts w:ascii="Arial" w:hAnsi="Arial" w:cs="Arial"/>
          <w:sz w:val="20"/>
          <w:szCs w:val="20"/>
        </w:rPr>
        <w:t>proc</w:t>
      </w:r>
      <w:proofErr w:type="spellEnd"/>
      <w:r>
        <w:rPr>
          <w:rFonts w:ascii="Arial" w:hAnsi="Arial" w:cs="Arial"/>
          <w:sz w:val="20"/>
          <w:szCs w:val="20"/>
        </w:rPr>
        <w:t xml:space="preserve">. </w:t>
      </w:r>
      <w:r>
        <w:rPr>
          <w:rStyle w:val="grame"/>
          <w:rFonts w:ascii="Arial" w:hAnsi="Arial" w:cs="Arial"/>
          <w:sz w:val="20"/>
          <w:szCs w:val="20"/>
        </w:rPr>
        <w:t>civ</w:t>
      </w:r>
      <w:r>
        <w:rPr>
          <w:rFonts w:ascii="Arial" w:hAnsi="Arial" w:cs="Arial"/>
          <w:sz w:val="20"/>
          <w:szCs w:val="20"/>
        </w:rPr>
        <w:t>., poiché la sentenza di primo grado aveva posto a fondamento della decisione ragioni diverse da quelle dedotte nell'opposizione al decreto ingiuntivo;</w:t>
      </w:r>
    </w:p>
    <w:p w:rsidR="00DF3415" w:rsidRDefault="00DF3415" w:rsidP="00DF3415">
      <w:pPr>
        <w:pStyle w:val="NormaleWeb"/>
      </w:pPr>
      <w:r>
        <w:rPr>
          <w:rStyle w:val="grame"/>
          <w:rFonts w:ascii="Arial" w:hAnsi="Arial" w:cs="Arial"/>
          <w:sz w:val="20"/>
          <w:szCs w:val="20"/>
        </w:rPr>
        <w:t>1.4 con il quarto motivo, omessa compensazione delle spese processuali con riferimento ad A. R.;</w:t>
      </w:r>
    </w:p>
    <w:p w:rsidR="00DF3415" w:rsidRDefault="00DF3415" w:rsidP="00DF3415">
      <w:pPr>
        <w:pStyle w:val="NormaleWeb"/>
      </w:pPr>
      <w:r>
        <w:rPr>
          <w:rFonts w:ascii="Arial" w:hAnsi="Arial" w:cs="Arial"/>
          <w:sz w:val="20"/>
          <w:szCs w:val="20"/>
        </w:rPr>
        <w:t xml:space="preserve">Con il quinto motivo, violazione dell'art. 91 cod. </w:t>
      </w:r>
      <w:proofErr w:type="spellStart"/>
      <w:r>
        <w:rPr>
          <w:rFonts w:ascii="Arial" w:hAnsi="Arial" w:cs="Arial"/>
          <w:sz w:val="20"/>
          <w:szCs w:val="20"/>
        </w:rPr>
        <w:t>proc</w:t>
      </w:r>
      <w:proofErr w:type="spellEnd"/>
      <w:r>
        <w:rPr>
          <w:rFonts w:ascii="Arial" w:hAnsi="Arial" w:cs="Arial"/>
          <w:sz w:val="20"/>
          <w:szCs w:val="20"/>
        </w:rPr>
        <w:t xml:space="preserve">. </w:t>
      </w:r>
      <w:r>
        <w:rPr>
          <w:rStyle w:val="grame"/>
          <w:rFonts w:ascii="Arial" w:hAnsi="Arial" w:cs="Arial"/>
          <w:sz w:val="20"/>
          <w:szCs w:val="20"/>
        </w:rPr>
        <w:t>c</w:t>
      </w:r>
      <w:r>
        <w:rPr>
          <w:rFonts w:ascii="Arial" w:hAnsi="Arial" w:cs="Arial"/>
          <w:sz w:val="20"/>
          <w:szCs w:val="20"/>
        </w:rPr>
        <w:t xml:space="preserve">iv., ai sensi degli artt. 360 </w:t>
      </w:r>
      <w:proofErr w:type="spellStart"/>
      <w:r>
        <w:rPr>
          <w:rFonts w:ascii="Arial" w:hAnsi="Arial" w:cs="Arial"/>
          <w:sz w:val="20"/>
          <w:szCs w:val="20"/>
        </w:rPr>
        <w:t>nn</w:t>
      </w:r>
      <w:proofErr w:type="spellEnd"/>
      <w:r>
        <w:rPr>
          <w:rFonts w:ascii="Arial" w:hAnsi="Arial" w:cs="Arial"/>
          <w:sz w:val="20"/>
          <w:szCs w:val="20"/>
        </w:rPr>
        <w:t xml:space="preserve">. 3 e 5 cod. </w:t>
      </w:r>
      <w:proofErr w:type="spellStart"/>
      <w:r>
        <w:rPr>
          <w:rFonts w:ascii="Arial" w:hAnsi="Arial" w:cs="Arial"/>
          <w:sz w:val="20"/>
          <w:szCs w:val="20"/>
        </w:rPr>
        <w:t>proc</w:t>
      </w:r>
      <w:proofErr w:type="spellEnd"/>
      <w:r>
        <w:rPr>
          <w:rFonts w:ascii="Arial" w:hAnsi="Arial" w:cs="Arial"/>
          <w:sz w:val="20"/>
          <w:szCs w:val="20"/>
        </w:rPr>
        <w:t xml:space="preserve">. </w:t>
      </w:r>
      <w:r>
        <w:rPr>
          <w:rStyle w:val="grame"/>
          <w:rFonts w:ascii="Arial" w:hAnsi="Arial" w:cs="Arial"/>
          <w:sz w:val="20"/>
          <w:szCs w:val="20"/>
        </w:rPr>
        <w:t>c</w:t>
      </w:r>
      <w:r>
        <w:rPr>
          <w:rFonts w:ascii="Arial" w:hAnsi="Arial" w:cs="Arial"/>
          <w:sz w:val="20"/>
          <w:szCs w:val="20"/>
        </w:rPr>
        <w:t>iv., non sussistendo soccombenza nei confronti del Condominio, che era stato chiamato in giudizio da A. R.;</w:t>
      </w:r>
    </w:p>
    <w:p w:rsidR="00DF3415" w:rsidRDefault="00DF3415" w:rsidP="00DF3415">
      <w:pPr>
        <w:pStyle w:val="NormaleWeb"/>
      </w:pPr>
      <w:r>
        <w:rPr>
          <w:rFonts w:ascii="Arial" w:hAnsi="Arial" w:cs="Arial"/>
          <w:sz w:val="20"/>
          <w:szCs w:val="20"/>
        </w:rPr>
        <w:t xml:space="preserve">Con il sesto motivo, violazione dell'art. 63 </w:t>
      </w:r>
      <w:proofErr w:type="spellStart"/>
      <w:r>
        <w:rPr>
          <w:rFonts w:ascii="Arial" w:hAnsi="Arial" w:cs="Arial"/>
          <w:sz w:val="20"/>
          <w:szCs w:val="20"/>
        </w:rPr>
        <w:t>disp</w:t>
      </w:r>
      <w:proofErr w:type="spellEnd"/>
      <w:r>
        <w:rPr>
          <w:rFonts w:ascii="Arial" w:hAnsi="Arial" w:cs="Arial"/>
          <w:sz w:val="20"/>
          <w:szCs w:val="20"/>
        </w:rPr>
        <w:t xml:space="preserve">. </w:t>
      </w:r>
      <w:proofErr w:type="spellStart"/>
      <w:r>
        <w:rPr>
          <w:rStyle w:val="grame"/>
          <w:rFonts w:ascii="Arial" w:hAnsi="Arial" w:cs="Arial"/>
          <w:sz w:val="20"/>
          <w:szCs w:val="20"/>
        </w:rPr>
        <w:t>a</w:t>
      </w:r>
      <w:r>
        <w:rPr>
          <w:rFonts w:ascii="Arial" w:hAnsi="Arial" w:cs="Arial"/>
          <w:sz w:val="20"/>
          <w:szCs w:val="20"/>
        </w:rPr>
        <w:t>tt</w:t>
      </w:r>
      <w:proofErr w:type="spellEnd"/>
      <w:r>
        <w:rPr>
          <w:rFonts w:ascii="Arial" w:hAnsi="Arial" w:cs="Arial"/>
          <w:sz w:val="20"/>
          <w:szCs w:val="20"/>
        </w:rPr>
        <w:t xml:space="preserve">., in relazione all'art. 360 n. 3 cod. </w:t>
      </w:r>
      <w:proofErr w:type="spellStart"/>
      <w:r>
        <w:rPr>
          <w:rFonts w:ascii="Arial" w:hAnsi="Arial" w:cs="Arial"/>
          <w:sz w:val="20"/>
          <w:szCs w:val="20"/>
        </w:rPr>
        <w:t>proc</w:t>
      </w:r>
      <w:proofErr w:type="spellEnd"/>
      <w:r>
        <w:rPr>
          <w:rFonts w:ascii="Arial" w:hAnsi="Arial" w:cs="Arial"/>
          <w:sz w:val="20"/>
          <w:szCs w:val="20"/>
        </w:rPr>
        <w:t xml:space="preserve">. </w:t>
      </w:r>
      <w:r>
        <w:rPr>
          <w:rStyle w:val="grame"/>
          <w:rFonts w:ascii="Arial" w:hAnsi="Arial" w:cs="Arial"/>
          <w:sz w:val="20"/>
          <w:szCs w:val="20"/>
        </w:rPr>
        <w:t>civ</w:t>
      </w:r>
      <w:r>
        <w:rPr>
          <w:rFonts w:ascii="Arial" w:hAnsi="Arial" w:cs="Arial"/>
          <w:sz w:val="20"/>
          <w:szCs w:val="20"/>
        </w:rPr>
        <w:t>., non aveva tenuto conto dell'orientamento della Suprema Corte, secondo cui l'acquirente di una unità immobiliare doveva essere tenuto alle spese solidalmente al suo dante causa.</w:t>
      </w:r>
    </w:p>
    <w:p w:rsidR="00DF3415" w:rsidRDefault="00DF3415" w:rsidP="00DF3415">
      <w:pPr>
        <w:pStyle w:val="NormaleWeb"/>
      </w:pPr>
      <w:r>
        <w:rPr>
          <w:rFonts w:ascii="Arial" w:hAnsi="Arial" w:cs="Arial"/>
          <w:sz w:val="20"/>
          <w:szCs w:val="20"/>
        </w:rPr>
        <w:t>2.1 La questione di diritto, che la Suprema Corte deve risolvere per decidere la controversia, riguarda la natura delle obbligazioni dei condomini.</w:t>
      </w:r>
    </w:p>
    <w:p w:rsidR="00DF3415" w:rsidRDefault="00DF3415" w:rsidP="00DF3415">
      <w:pPr>
        <w:pStyle w:val="NormaleWeb"/>
      </w:pPr>
      <w:r>
        <w:rPr>
          <w:rFonts w:ascii="Arial" w:hAnsi="Arial" w:cs="Arial"/>
          <w:sz w:val="20"/>
          <w:szCs w:val="20"/>
        </w:rPr>
        <w:t xml:space="preserve">Secondo l'orientamento maggioritario della giurisprudenza, la responsabilità dei singoli partecipanti per le obbligazioni assunte dal "condominio" verso i terzi ha natura solidale, avuto riguardo al principio generale stabilito dall'art. 1294 cod. civ. </w:t>
      </w:r>
      <w:r>
        <w:rPr>
          <w:rStyle w:val="grame"/>
          <w:rFonts w:ascii="Arial" w:hAnsi="Arial" w:cs="Arial"/>
          <w:sz w:val="20"/>
          <w:szCs w:val="20"/>
        </w:rPr>
        <w:t>p</w:t>
      </w:r>
      <w:r>
        <w:rPr>
          <w:rFonts w:ascii="Arial" w:hAnsi="Arial" w:cs="Arial"/>
          <w:sz w:val="20"/>
          <w:szCs w:val="20"/>
        </w:rPr>
        <w:t>er l'ipotesi in cui più soggetti siano obbligati per la medesima prestazione: principio non derogato dall'art. 1123 cod. civ., che si limita a ripartire gli oneri all'interno del condominio (</w:t>
      </w:r>
      <w:proofErr w:type="spellStart"/>
      <w:r>
        <w:rPr>
          <w:rFonts w:ascii="Arial" w:hAnsi="Arial" w:cs="Arial"/>
          <w:sz w:val="20"/>
          <w:szCs w:val="20"/>
        </w:rPr>
        <w:t>Cass</w:t>
      </w:r>
      <w:proofErr w:type="spellEnd"/>
      <w:r>
        <w:rPr>
          <w:rFonts w:ascii="Arial" w:hAnsi="Arial" w:cs="Arial"/>
          <w:sz w:val="20"/>
          <w:szCs w:val="20"/>
        </w:rPr>
        <w:t xml:space="preserve">., Sez. II, 5 aprile 1982, n. 2085; </w:t>
      </w:r>
      <w:proofErr w:type="spellStart"/>
      <w:r>
        <w:rPr>
          <w:rFonts w:ascii="Arial" w:hAnsi="Arial" w:cs="Arial"/>
          <w:sz w:val="20"/>
          <w:szCs w:val="20"/>
        </w:rPr>
        <w:t>Cass</w:t>
      </w:r>
      <w:proofErr w:type="spellEnd"/>
      <w:r>
        <w:rPr>
          <w:rStyle w:val="grame"/>
          <w:rFonts w:ascii="Arial" w:hAnsi="Arial" w:cs="Arial"/>
          <w:sz w:val="20"/>
          <w:szCs w:val="20"/>
        </w:rPr>
        <w:t>.,</w:t>
      </w:r>
      <w:r>
        <w:rPr>
          <w:rFonts w:ascii="Arial" w:hAnsi="Arial" w:cs="Arial"/>
          <w:sz w:val="20"/>
          <w:szCs w:val="20"/>
        </w:rPr>
        <w:t xml:space="preserve"> Sez. II, 17 aprile 1993, n. 4558; </w:t>
      </w:r>
      <w:proofErr w:type="spellStart"/>
      <w:r>
        <w:rPr>
          <w:rFonts w:ascii="Arial" w:hAnsi="Arial" w:cs="Arial"/>
          <w:sz w:val="20"/>
          <w:szCs w:val="20"/>
        </w:rPr>
        <w:t>Cass</w:t>
      </w:r>
      <w:proofErr w:type="spellEnd"/>
      <w:r>
        <w:rPr>
          <w:rStyle w:val="grame"/>
          <w:rFonts w:ascii="Arial" w:hAnsi="Arial" w:cs="Arial"/>
          <w:sz w:val="20"/>
          <w:szCs w:val="20"/>
        </w:rPr>
        <w:t>.,</w:t>
      </w:r>
      <w:r>
        <w:rPr>
          <w:rFonts w:ascii="Arial" w:hAnsi="Arial" w:cs="Arial"/>
          <w:sz w:val="20"/>
          <w:szCs w:val="20"/>
        </w:rPr>
        <w:t xml:space="preserve"> Sez. II, 30 luglio 2004, n. 14593; </w:t>
      </w:r>
      <w:proofErr w:type="spellStart"/>
      <w:r>
        <w:rPr>
          <w:rFonts w:ascii="Arial" w:hAnsi="Arial" w:cs="Arial"/>
          <w:sz w:val="20"/>
          <w:szCs w:val="20"/>
        </w:rPr>
        <w:t>Cass</w:t>
      </w:r>
      <w:proofErr w:type="spellEnd"/>
      <w:r>
        <w:rPr>
          <w:rStyle w:val="grame"/>
          <w:rFonts w:ascii="Arial" w:hAnsi="Arial" w:cs="Arial"/>
          <w:sz w:val="20"/>
          <w:szCs w:val="20"/>
        </w:rPr>
        <w:t>.,</w:t>
      </w:r>
      <w:r>
        <w:rPr>
          <w:rFonts w:ascii="Arial" w:hAnsi="Arial" w:cs="Arial"/>
          <w:sz w:val="20"/>
          <w:szCs w:val="20"/>
        </w:rPr>
        <w:t xml:space="preserve"> Sez. II, 31 agosto 2005, n. 17563).</w:t>
      </w:r>
    </w:p>
    <w:p w:rsidR="00DF3415" w:rsidRDefault="00DF3415" w:rsidP="00DF3415">
      <w:pPr>
        <w:pStyle w:val="NormaleWeb"/>
      </w:pPr>
      <w:r>
        <w:rPr>
          <w:rFonts w:ascii="Arial" w:hAnsi="Arial" w:cs="Arial"/>
          <w:sz w:val="20"/>
          <w:szCs w:val="20"/>
        </w:rPr>
        <w:t xml:space="preserve">Per l'indirizzo </w:t>
      </w:r>
      <w:r>
        <w:rPr>
          <w:rStyle w:val="grame"/>
          <w:rFonts w:ascii="Arial" w:hAnsi="Arial" w:cs="Arial"/>
          <w:sz w:val="20"/>
          <w:szCs w:val="20"/>
        </w:rPr>
        <w:t>decisamente</w:t>
      </w:r>
      <w:r>
        <w:rPr>
          <w:rFonts w:ascii="Arial" w:hAnsi="Arial" w:cs="Arial"/>
          <w:sz w:val="20"/>
          <w:szCs w:val="20"/>
        </w:rPr>
        <w:t xml:space="preserve"> minoritario, la responsabilità dei condomini è retta dal criterio dalla parziarietà: in proporzione alle rispettive quote, ai singoli partecipanti si imputano le obbligazioni assunte nell'interesse del "condominio", relativamente alle spese per la conservazione e per il godimento delle cose comuni dell'edificio, per la prestazione dei servizi nell'interesse comune e per le innovazioni deliberate dalla maggioranza. Pertanto, le obbligazioni dei condomini sono regolate da criteri consimili a quelli dettati dagli artt. 752 e 1295 cod. civ. </w:t>
      </w:r>
      <w:r>
        <w:rPr>
          <w:rStyle w:val="grame"/>
          <w:rFonts w:ascii="Arial" w:hAnsi="Arial" w:cs="Arial"/>
          <w:sz w:val="20"/>
          <w:szCs w:val="20"/>
        </w:rPr>
        <w:t>p</w:t>
      </w:r>
      <w:r>
        <w:rPr>
          <w:rFonts w:ascii="Arial" w:hAnsi="Arial" w:cs="Arial"/>
          <w:sz w:val="20"/>
          <w:szCs w:val="20"/>
        </w:rPr>
        <w:t>er le obbligazioni ereditarie, secondo cui al pagamento dei debiti ereditali i coeredi concorrono in proporzione alle loro quote e l'obbligazione in solido di uno dei condebitori si ripartisce tra gli eredi in proporzione alle quote ereditarie (</w:t>
      </w:r>
      <w:proofErr w:type="spellStart"/>
      <w:r>
        <w:rPr>
          <w:rFonts w:ascii="Arial" w:hAnsi="Arial" w:cs="Arial"/>
          <w:sz w:val="20"/>
          <w:szCs w:val="20"/>
        </w:rPr>
        <w:t>Cass</w:t>
      </w:r>
      <w:proofErr w:type="spellEnd"/>
      <w:r>
        <w:rPr>
          <w:rFonts w:ascii="Arial" w:hAnsi="Arial" w:cs="Arial"/>
          <w:sz w:val="20"/>
          <w:szCs w:val="20"/>
        </w:rPr>
        <w:t>., Sez. II, 27 settembre 1996, n. 8530).</w:t>
      </w:r>
    </w:p>
    <w:p w:rsidR="00DF3415" w:rsidRDefault="00DF3415" w:rsidP="00DF3415">
      <w:pPr>
        <w:pStyle w:val="NormaleWeb"/>
      </w:pPr>
      <w:r>
        <w:rPr>
          <w:rFonts w:ascii="Arial" w:hAnsi="Arial" w:cs="Arial"/>
          <w:sz w:val="20"/>
          <w:szCs w:val="20"/>
        </w:rPr>
        <w:t>2.2 Per determinare i principi di diritto, che regolano le obbligazioni (contrattuali) unitarie le quali vincolano la pluralità di soggetti passivi - i condomini - occorre muovere dal fondamento della solidarietà.</w:t>
      </w:r>
    </w:p>
    <w:p w:rsidR="00DF3415" w:rsidRDefault="00DF3415" w:rsidP="00DF3415">
      <w:pPr>
        <w:pStyle w:val="NormaleWeb"/>
      </w:pPr>
      <w:r>
        <w:rPr>
          <w:rFonts w:ascii="Arial" w:hAnsi="Arial" w:cs="Arial"/>
          <w:sz w:val="20"/>
          <w:szCs w:val="20"/>
        </w:rPr>
        <w:t xml:space="preserve">L'assunto è che la solidarietà passiva scaturisca dalla contestuale presenza di diversi requisiti, in difetto dei quali - e di una precisa disposizione di legge - il criterio non si applica, non essendo sufficiente la comunanza del debito tra la pluralità dei debitori e l'identica causa dell'obbligazione; che nessuna specifica disposizione contempli la solidarietà tra i condomini, cui osta la parziarietà intrinseca della prestazione; che la solidarietà non possa ricondursi </w:t>
      </w:r>
      <w:r>
        <w:rPr>
          <w:rStyle w:val="grame"/>
          <w:rFonts w:ascii="Arial" w:hAnsi="Arial" w:cs="Arial"/>
          <w:sz w:val="20"/>
          <w:szCs w:val="20"/>
        </w:rPr>
        <w:t xml:space="preserve">alla </w:t>
      </w:r>
      <w:r>
        <w:rPr>
          <w:rFonts w:ascii="Arial" w:hAnsi="Arial" w:cs="Arial"/>
          <w:sz w:val="20"/>
          <w:szCs w:val="20"/>
        </w:rPr>
        <w:t>asserita unitarietà del gruppo, in quanto il condominio non raffigura un "ente di gestione", ma una organizzazione pluralistica e l'amministratore rappresenta immediatamente i singoli partecipanti, nei limiti del mandato conferito secondo le quote di ciascuno.</w:t>
      </w:r>
    </w:p>
    <w:p w:rsidR="00DF3415" w:rsidRDefault="00DF3415" w:rsidP="00DF3415">
      <w:pPr>
        <w:pStyle w:val="NormaleWeb"/>
      </w:pPr>
      <w:r>
        <w:rPr>
          <w:rFonts w:ascii="Arial" w:hAnsi="Arial" w:cs="Arial"/>
          <w:sz w:val="20"/>
          <w:szCs w:val="20"/>
        </w:rPr>
        <w:t xml:space="preserve">La disposizione dell'art. 1292 cod. civ. - è noto - si limita a descrivere il fenomeno e le sue conseguenze. </w:t>
      </w:r>
      <w:r>
        <w:rPr>
          <w:rStyle w:val="grame"/>
          <w:rFonts w:ascii="Arial" w:hAnsi="Arial" w:cs="Arial"/>
          <w:sz w:val="20"/>
          <w:szCs w:val="20"/>
        </w:rPr>
        <w:t>Invero</w:t>
      </w:r>
      <w:r>
        <w:rPr>
          <w:rFonts w:ascii="Arial" w:hAnsi="Arial" w:cs="Arial"/>
          <w:sz w:val="20"/>
          <w:szCs w:val="20"/>
        </w:rPr>
        <w:t xml:space="preserve">, sotto la rubrica "nozione della solidarietà", definisce l'obbligazione in solido quella in cui "più debitori sono obbligati tutti per la medesima prestazione" e aggiunge che ciascuno può essere costretto all'adempimento per la totalità (con liberazione degli altri). L'art. 1294 cod. civ. </w:t>
      </w:r>
      <w:r>
        <w:rPr>
          <w:rStyle w:val="grame"/>
          <w:rFonts w:ascii="Arial" w:hAnsi="Arial" w:cs="Arial"/>
          <w:sz w:val="20"/>
          <w:szCs w:val="20"/>
        </w:rPr>
        <w:t>s</w:t>
      </w:r>
      <w:r>
        <w:rPr>
          <w:rFonts w:ascii="Arial" w:hAnsi="Arial" w:cs="Arial"/>
          <w:sz w:val="20"/>
          <w:szCs w:val="20"/>
        </w:rPr>
        <w:t xml:space="preserve">tabilisce che "i condebitori sono tenuti in solido, se dalla legge o dal titolo non risulta diversamente". Nessuna delle norme, tuttavia, precisa la ratio della solidarietà, ovverosia ne chiarisce il fondamento (che </w:t>
      </w:r>
      <w:r>
        <w:rPr>
          <w:rStyle w:val="grame"/>
          <w:rFonts w:ascii="Arial" w:hAnsi="Arial" w:cs="Arial"/>
          <w:sz w:val="20"/>
          <w:szCs w:val="20"/>
        </w:rPr>
        <w:t>risulta</w:t>
      </w:r>
      <w:r>
        <w:rPr>
          <w:rFonts w:ascii="Arial" w:hAnsi="Arial" w:cs="Arial"/>
          <w:sz w:val="20"/>
          <w:szCs w:val="20"/>
        </w:rPr>
        <w:t xml:space="preserve"> necessario, quanto meno, per risolvere i casi dubbi).</w:t>
      </w:r>
    </w:p>
    <w:p w:rsidR="00DF3415" w:rsidRDefault="00DF3415" w:rsidP="00DF3415">
      <w:pPr>
        <w:pStyle w:val="NormaleWeb"/>
      </w:pPr>
      <w:r>
        <w:rPr>
          <w:rFonts w:ascii="Arial" w:hAnsi="Arial" w:cs="Arial"/>
          <w:sz w:val="20"/>
          <w:szCs w:val="20"/>
        </w:rPr>
        <w:lastRenderedPageBreak/>
        <w:t xml:space="preserve">Stando all'interpretazione più accreditata, le obbligazioni solidali, indivisibili e parziarie raffigurano le risposte dell'ordinamento ai problemi derivanti dalla presenza di più debitori (o creditori), </w:t>
      </w:r>
      <w:r>
        <w:rPr>
          <w:rStyle w:val="grame"/>
          <w:rFonts w:ascii="Arial" w:hAnsi="Arial" w:cs="Arial"/>
          <w:sz w:val="20"/>
          <w:szCs w:val="20"/>
        </w:rPr>
        <w:t xml:space="preserve">dalla </w:t>
      </w:r>
      <w:r>
        <w:rPr>
          <w:rFonts w:ascii="Arial" w:hAnsi="Arial" w:cs="Arial"/>
          <w:sz w:val="20"/>
          <w:szCs w:val="20"/>
        </w:rPr>
        <w:t>unicità della causa dell'obbligazione (</w:t>
      </w:r>
      <w:proofErr w:type="spellStart"/>
      <w:r>
        <w:rPr>
          <w:rFonts w:ascii="Arial" w:hAnsi="Arial" w:cs="Arial"/>
          <w:sz w:val="20"/>
          <w:szCs w:val="20"/>
        </w:rPr>
        <w:t>eadem</w:t>
      </w:r>
      <w:proofErr w:type="spellEnd"/>
      <w:r>
        <w:rPr>
          <w:rFonts w:ascii="Arial" w:hAnsi="Arial" w:cs="Arial"/>
          <w:sz w:val="20"/>
          <w:szCs w:val="20"/>
        </w:rPr>
        <w:t xml:space="preserve"> causa </w:t>
      </w:r>
      <w:proofErr w:type="spellStart"/>
      <w:r>
        <w:rPr>
          <w:rFonts w:ascii="Arial" w:hAnsi="Arial" w:cs="Arial"/>
          <w:sz w:val="20"/>
          <w:szCs w:val="20"/>
        </w:rPr>
        <w:t>obbligandi</w:t>
      </w:r>
      <w:proofErr w:type="spellEnd"/>
      <w:r>
        <w:rPr>
          <w:rFonts w:ascii="Arial" w:hAnsi="Arial" w:cs="Arial"/>
          <w:sz w:val="20"/>
          <w:szCs w:val="20"/>
        </w:rPr>
        <w:t>) e dalla unicità della prestazione (</w:t>
      </w:r>
      <w:proofErr w:type="spellStart"/>
      <w:r>
        <w:rPr>
          <w:rFonts w:ascii="Arial" w:hAnsi="Arial" w:cs="Arial"/>
          <w:sz w:val="20"/>
          <w:szCs w:val="20"/>
        </w:rPr>
        <w:t>eadem</w:t>
      </w:r>
      <w:proofErr w:type="spellEnd"/>
      <w:r>
        <w:rPr>
          <w:rFonts w:ascii="Arial" w:hAnsi="Arial" w:cs="Arial"/>
          <w:sz w:val="20"/>
          <w:szCs w:val="20"/>
        </w:rPr>
        <w:t xml:space="preserve"> res debita).</w:t>
      </w:r>
    </w:p>
    <w:p w:rsidR="00DF3415" w:rsidRDefault="00DF3415" w:rsidP="00DF3415">
      <w:pPr>
        <w:pStyle w:val="NormaleWeb"/>
      </w:pPr>
      <w:r>
        <w:rPr>
          <w:rFonts w:ascii="Arial" w:hAnsi="Arial" w:cs="Arial"/>
          <w:sz w:val="20"/>
          <w:szCs w:val="20"/>
        </w:rPr>
        <w:t xml:space="preserve">Mentre dalla pluralità dei debitori e </w:t>
      </w:r>
      <w:r>
        <w:rPr>
          <w:rStyle w:val="grame"/>
          <w:rFonts w:ascii="Arial" w:hAnsi="Arial" w:cs="Arial"/>
          <w:sz w:val="20"/>
          <w:szCs w:val="20"/>
        </w:rPr>
        <w:t xml:space="preserve">dalla </w:t>
      </w:r>
      <w:r>
        <w:rPr>
          <w:rFonts w:ascii="Arial" w:hAnsi="Arial" w:cs="Arial"/>
          <w:sz w:val="20"/>
          <w:szCs w:val="20"/>
        </w:rPr>
        <w:t xml:space="preserve">unicità della causa dell'obbligazione scaturiscono questioni che, nella specie, non rilevano, la categoria dell'idem </w:t>
      </w:r>
      <w:proofErr w:type="spellStart"/>
      <w:r>
        <w:rPr>
          <w:rFonts w:ascii="Arial" w:hAnsi="Arial" w:cs="Arial"/>
          <w:sz w:val="20"/>
          <w:szCs w:val="20"/>
        </w:rPr>
        <w:t>debitum</w:t>
      </w:r>
      <w:proofErr w:type="spellEnd"/>
      <w:r>
        <w:rPr>
          <w:rFonts w:ascii="Arial" w:hAnsi="Arial" w:cs="Arial"/>
          <w:sz w:val="20"/>
          <w:szCs w:val="20"/>
        </w:rPr>
        <w:t xml:space="preserve"> propone problemi tecnici considerevoli: in particolare, la unicità della prestazione che, per natura, è suscettibile di divisione, e la individuazione del vincolo della solidarietà rispetto alla prestazione la quale, nel suo sostrato di fatto, è naturalisticamente parziaria.</w:t>
      </w:r>
    </w:p>
    <w:p w:rsidR="00DF3415" w:rsidRDefault="00DF3415" w:rsidP="00DF3415">
      <w:pPr>
        <w:pStyle w:val="NormaleWeb"/>
      </w:pPr>
      <w:r>
        <w:rPr>
          <w:rFonts w:ascii="Arial" w:hAnsi="Arial" w:cs="Arial"/>
          <w:sz w:val="20"/>
          <w:szCs w:val="20"/>
        </w:rPr>
        <w:t xml:space="preserve">Semplificando categorie complesse ed assai elaborate, l'indivisibilità consiste nel modo di essere della prestazione: nel suo elemento oggettivo, specie laddove </w:t>
      </w:r>
      <w:r>
        <w:rPr>
          <w:rStyle w:val="grame"/>
          <w:rFonts w:ascii="Arial" w:hAnsi="Arial" w:cs="Arial"/>
          <w:sz w:val="20"/>
          <w:szCs w:val="20"/>
        </w:rPr>
        <w:t xml:space="preserve">la </w:t>
      </w:r>
      <w:r>
        <w:rPr>
          <w:rFonts w:ascii="Arial" w:hAnsi="Arial" w:cs="Arial"/>
          <w:sz w:val="20"/>
          <w:szCs w:val="20"/>
        </w:rPr>
        <w:t xml:space="preserve">insussistenza naturalistica della indivisibilità non è accompagnata dall'obbligo specifico imposto per legge a ciascun debitore di adempiere per l'intero. </w:t>
      </w:r>
      <w:r>
        <w:rPr>
          <w:rStyle w:val="grame"/>
          <w:rFonts w:ascii="Arial" w:hAnsi="Arial" w:cs="Arial"/>
          <w:sz w:val="20"/>
          <w:szCs w:val="20"/>
        </w:rPr>
        <w:t>Quando</w:t>
      </w:r>
      <w:r>
        <w:rPr>
          <w:rFonts w:ascii="Arial" w:hAnsi="Arial" w:cs="Arial"/>
          <w:sz w:val="20"/>
          <w:szCs w:val="20"/>
        </w:rPr>
        <w:t xml:space="preserve"> la prestazione per natura non è indivisibile, la solidarietà dipende dalle norme e dai principi. La solidarietà raffigura un particolare atteggiamento nei rapporti esterni di </w:t>
      </w:r>
      <w:r>
        <w:rPr>
          <w:rStyle w:val="grame"/>
          <w:rFonts w:ascii="Arial" w:hAnsi="Arial" w:cs="Arial"/>
          <w:sz w:val="20"/>
          <w:szCs w:val="20"/>
        </w:rPr>
        <w:t xml:space="preserve">una </w:t>
      </w:r>
      <w:r>
        <w:rPr>
          <w:rFonts w:ascii="Arial" w:hAnsi="Arial" w:cs="Arial"/>
          <w:sz w:val="20"/>
          <w:szCs w:val="20"/>
        </w:rPr>
        <w:t xml:space="preserve">obbligazione intrinsecamente parziaria quando la legge privilegia la comunanza della prestazione. Altrimenti, la struttura parziaria dell'obbligazione ha il sopravvento e insorge una pluralità </w:t>
      </w:r>
      <w:r>
        <w:rPr>
          <w:rStyle w:val="grame"/>
          <w:rFonts w:ascii="Arial" w:hAnsi="Arial" w:cs="Arial"/>
          <w:sz w:val="20"/>
          <w:szCs w:val="20"/>
        </w:rPr>
        <w:t xml:space="preserve">di </w:t>
      </w:r>
      <w:r>
        <w:rPr>
          <w:rFonts w:ascii="Arial" w:hAnsi="Arial" w:cs="Arial"/>
          <w:sz w:val="20"/>
          <w:szCs w:val="20"/>
        </w:rPr>
        <w:t>obbligazioni tra loro connesse.</w:t>
      </w:r>
    </w:p>
    <w:p w:rsidR="00DF3415" w:rsidRDefault="00DF3415" w:rsidP="00DF3415">
      <w:pPr>
        <w:pStyle w:val="NormaleWeb"/>
      </w:pPr>
      <w:r>
        <w:rPr>
          <w:rFonts w:ascii="Arial" w:hAnsi="Arial" w:cs="Arial"/>
          <w:sz w:val="20"/>
          <w:szCs w:val="20"/>
        </w:rPr>
        <w:t xml:space="preserve">È pur vero che la solidarietà raffigura un principio riguardante i condebitori in genere. Ma il principio generale è valido laddove, in concreto, sussistono tutti i presupposti previsti dalla legge per </w:t>
      </w:r>
      <w:r>
        <w:rPr>
          <w:rStyle w:val="grame"/>
          <w:rFonts w:ascii="Arial" w:hAnsi="Arial" w:cs="Arial"/>
          <w:sz w:val="20"/>
          <w:szCs w:val="20"/>
        </w:rPr>
        <w:t xml:space="preserve">la </w:t>
      </w:r>
      <w:r>
        <w:rPr>
          <w:rFonts w:ascii="Arial" w:hAnsi="Arial" w:cs="Arial"/>
          <w:sz w:val="20"/>
          <w:szCs w:val="20"/>
        </w:rPr>
        <w:t xml:space="preserve">attuazione congiunta del </w:t>
      </w:r>
      <w:proofErr w:type="spellStart"/>
      <w:r>
        <w:rPr>
          <w:rFonts w:ascii="Arial" w:hAnsi="Arial" w:cs="Arial"/>
          <w:sz w:val="20"/>
          <w:szCs w:val="20"/>
        </w:rPr>
        <w:t>condebito</w:t>
      </w:r>
      <w:proofErr w:type="spellEnd"/>
      <w:r>
        <w:rPr>
          <w:rFonts w:ascii="Arial" w:hAnsi="Arial" w:cs="Arial"/>
          <w:sz w:val="20"/>
          <w:szCs w:val="20"/>
        </w:rPr>
        <w:t xml:space="preserve">. </w:t>
      </w:r>
      <w:r>
        <w:rPr>
          <w:rStyle w:val="grame"/>
          <w:rFonts w:ascii="Arial" w:hAnsi="Arial" w:cs="Arial"/>
          <w:sz w:val="20"/>
          <w:szCs w:val="20"/>
        </w:rPr>
        <w:t>Sicuramente, quando la prestazione comune a ciascuno dei debitori è, allo stesso tempo, indivisibile</w:t>
      </w:r>
      <w:r>
        <w:rPr>
          <w:rFonts w:ascii="Arial" w:hAnsi="Arial" w:cs="Arial"/>
          <w:sz w:val="20"/>
          <w:szCs w:val="20"/>
        </w:rPr>
        <w:t>. Se invece l'obbligazione è divisibile, salvo che dalla legge (espressamente) sia considerata solidale, il principio della solidarietà (passiva) va contemperato con quello della divisibilità stabilito dall'art. 1314 cod. civ</w:t>
      </w:r>
      <w:r>
        <w:rPr>
          <w:rStyle w:val="grame"/>
          <w:rFonts w:ascii="Arial" w:hAnsi="Arial" w:cs="Arial"/>
          <w:sz w:val="20"/>
          <w:szCs w:val="20"/>
        </w:rPr>
        <w:t>.,</w:t>
      </w:r>
      <w:r>
        <w:rPr>
          <w:rFonts w:ascii="Arial" w:hAnsi="Arial" w:cs="Arial"/>
          <w:sz w:val="20"/>
          <w:szCs w:val="20"/>
        </w:rPr>
        <w:t xml:space="preserve"> secondo cui se più sono i debitori ed è la stessa la causa dell'obbligazione, ciascuno dei debitori non è tenuto a pagare il debito che per la sua parte.</w:t>
      </w:r>
    </w:p>
    <w:p w:rsidR="00DF3415" w:rsidRDefault="00DF3415" w:rsidP="00DF3415">
      <w:pPr>
        <w:pStyle w:val="NormaleWeb"/>
      </w:pPr>
      <w:r>
        <w:rPr>
          <w:rFonts w:ascii="Arial" w:hAnsi="Arial" w:cs="Arial"/>
          <w:sz w:val="20"/>
          <w:szCs w:val="20"/>
        </w:rPr>
        <w:t xml:space="preserve">Poiché la solidarietà, spesso, viene ad essere la configurazione ex </w:t>
      </w:r>
      <w:proofErr w:type="spellStart"/>
      <w:r>
        <w:rPr>
          <w:rFonts w:ascii="Arial" w:hAnsi="Arial" w:cs="Arial"/>
          <w:sz w:val="20"/>
          <w:szCs w:val="20"/>
        </w:rPr>
        <w:t>lege</w:t>
      </w:r>
      <w:proofErr w:type="spellEnd"/>
      <w:r>
        <w:rPr>
          <w:rFonts w:ascii="Arial" w:hAnsi="Arial" w:cs="Arial"/>
          <w:sz w:val="20"/>
          <w:szCs w:val="20"/>
        </w:rPr>
        <w:t xml:space="preserve">, nei rapporti esterni, di </w:t>
      </w:r>
      <w:r>
        <w:rPr>
          <w:rStyle w:val="grame"/>
          <w:rFonts w:ascii="Arial" w:hAnsi="Arial" w:cs="Arial"/>
          <w:sz w:val="20"/>
          <w:szCs w:val="20"/>
        </w:rPr>
        <w:t xml:space="preserve">una </w:t>
      </w:r>
      <w:r>
        <w:rPr>
          <w:rFonts w:ascii="Arial" w:hAnsi="Arial" w:cs="Arial"/>
          <w:sz w:val="20"/>
          <w:szCs w:val="20"/>
        </w:rPr>
        <w:t>obbligazione intrinsecamente parziaria, in difetto di configurazione normativa dell'obbligazione come solidale e, contemporaneamente, in presenza di una obbligazione comune, ma naturalisticamente, divisibile viene meno uno dei requisiti della solidarietà e la struttura parziaria dell’obbligazione prevale.</w:t>
      </w:r>
    </w:p>
    <w:p w:rsidR="00DF3415" w:rsidRDefault="00DF3415" w:rsidP="00DF3415">
      <w:pPr>
        <w:pStyle w:val="NormaleWeb"/>
      </w:pPr>
      <w:r>
        <w:rPr>
          <w:rFonts w:ascii="Arial" w:hAnsi="Arial" w:cs="Arial"/>
          <w:sz w:val="20"/>
          <w:szCs w:val="20"/>
        </w:rPr>
        <w:t xml:space="preserve">Del resto, la solidarietà </w:t>
      </w:r>
      <w:r>
        <w:rPr>
          <w:rStyle w:val="grame"/>
          <w:rFonts w:ascii="Arial" w:hAnsi="Arial" w:cs="Arial"/>
          <w:sz w:val="20"/>
          <w:szCs w:val="20"/>
        </w:rPr>
        <w:t>viene meno ogni qual volta la fonte dell'obbligazione comune è</w:t>
      </w:r>
      <w:r>
        <w:rPr>
          <w:rFonts w:ascii="Arial" w:hAnsi="Arial" w:cs="Arial"/>
          <w:sz w:val="20"/>
          <w:szCs w:val="20"/>
        </w:rPr>
        <w:t xml:space="preserve"> intimamente collegata con la titolarità delle res.</w:t>
      </w:r>
    </w:p>
    <w:p w:rsidR="00DF3415" w:rsidRDefault="00DF3415" w:rsidP="00DF3415">
      <w:pPr>
        <w:pStyle w:val="NormaleWeb"/>
      </w:pPr>
      <w:r>
        <w:rPr>
          <w:rFonts w:ascii="Arial" w:hAnsi="Arial" w:cs="Arial"/>
          <w:sz w:val="20"/>
          <w:szCs w:val="20"/>
        </w:rPr>
        <w:t xml:space="preserve">Le disposizioni di cui agli artt. 752, 754 e 1295 cod. civ. - che prevedono la parziarietà delle obbligazioni dei coeredi e la sostituzione, per effetto dell'apertura della successione, di </w:t>
      </w:r>
      <w:r>
        <w:rPr>
          <w:rStyle w:val="grame"/>
          <w:rFonts w:ascii="Arial" w:hAnsi="Arial" w:cs="Arial"/>
          <w:sz w:val="20"/>
          <w:szCs w:val="20"/>
        </w:rPr>
        <w:t xml:space="preserve">una </w:t>
      </w:r>
      <w:r>
        <w:rPr>
          <w:rFonts w:ascii="Arial" w:hAnsi="Arial" w:cs="Arial"/>
          <w:sz w:val="20"/>
          <w:szCs w:val="20"/>
        </w:rPr>
        <w:t>obbligazione nata unitaria con una pluralità di obbligazioni parziarie - esprimono il criterio di ordine generale del collegamento tra le obbligazioni e le res.</w:t>
      </w:r>
    </w:p>
    <w:p w:rsidR="00DF3415" w:rsidRDefault="00DF3415" w:rsidP="00DF3415">
      <w:pPr>
        <w:pStyle w:val="NormaleWeb"/>
      </w:pPr>
      <w:r>
        <w:rPr>
          <w:rFonts w:ascii="Arial" w:hAnsi="Arial" w:cs="Arial"/>
          <w:sz w:val="20"/>
          <w:szCs w:val="20"/>
        </w:rPr>
        <w:t xml:space="preserve">Per la verità, si tratta </w:t>
      </w:r>
      <w:r>
        <w:rPr>
          <w:rStyle w:val="grame"/>
          <w:rFonts w:ascii="Arial" w:hAnsi="Arial" w:cs="Arial"/>
          <w:sz w:val="20"/>
          <w:szCs w:val="20"/>
        </w:rPr>
        <w:t xml:space="preserve">di </w:t>
      </w:r>
      <w:r>
        <w:rPr>
          <w:rFonts w:ascii="Arial" w:hAnsi="Arial" w:cs="Arial"/>
          <w:sz w:val="20"/>
          <w:szCs w:val="20"/>
        </w:rPr>
        <w:t xml:space="preserve">obbligazioni immediatamente connesse con l'attribuzione ereditaria dei beni: di obbligazioni ricondotte alla titolarità dei beni ereditari in ragione dell'appartenenza della quota. Ciascun erede risponde soltanto della sua quota, in quanto è titolare di una quota di beni ereditari. Più in generale, laddove si riscontra lo stesso vincolo tra l'obbligazione e la quota e nella struttura dell'obbligazione, originata dalla medesima causa per una pluralità </w:t>
      </w:r>
      <w:r>
        <w:rPr>
          <w:rStyle w:val="grame"/>
          <w:rFonts w:ascii="Arial" w:hAnsi="Arial" w:cs="Arial"/>
          <w:sz w:val="20"/>
          <w:szCs w:val="20"/>
        </w:rPr>
        <w:t xml:space="preserve">di </w:t>
      </w:r>
      <w:r>
        <w:rPr>
          <w:rFonts w:ascii="Arial" w:hAnsi="Arial" w:cs="Arial"/>
          <w:sz w:val="20"/>
          <w:szCs w:val="20"/>
        </w:rPr>
        <w:t>obbligati, non sussiste il carattere della indivisibilità della prestazione, è ragionevole inferire che rispetto alla solidarietà non contemplata (espressamente) prevalga la struttura parziaria del vincolo.</w:t>
      </w:r>
    </w:p>
    <w:p w:rsidR="00DF3415" w:rsidRDefault="00DF3415" w:rsidP="00DF3415">
      <w:pPr>
        <w:pStyle w:val="NormaleWeb"/>
      </w:pPr>
      <w:r>
        <w:rPr>
          <w:rFonts w:ascii="Arial" w:hAnsi="Arial" w:cs="Arial"/>
          <w:sz w:val="20"/>
          <w:szCs w:val="20"/>
        </w:rPr>
        <w:t>2.3 Le direttive ermeneutiche esposte valgono per le obbligazioni facenti capo ai gruppi organizzati, ma non personificati.</w:t>
      </w:r>
    </w:p>
    <w:p w:rsidR="00DF3415" w:rsidRDefault="00DF3415" w:rsidP="00DF3415">
      <w:pPr>
        <w:pStyle w:val="NormaleWeb"/>
      </w:pPr>
      <w:r>
        <w:rPr>
          <w:rFonts w:ascii="Arial" w:hAnsi="Arial" w:cs="Arial"/>
          <w:sz w:val="20"/>
          <w:szCs w:val="20"/>
        </w:rPr>
        <w:t>Per ciò che concerne la struttura delle obbligazioni assunte nel cosiddetto interesse del "condominio" - in realtà, ascritte ai singoli condomini - si riscontrano certamente la pluralità dei debitori (i condomini) e la ‘</w:t>
      </w:r>
      <w:proofErr w:type="spellStart"/>
      <w:r>
        <w:rPr>
          <w:rFonts w:ascii="Arial" w:hAnsi="Arial" w:cs="Arial"/>
          <w:sz w:val="20"/>
          <w:szCs w:val="20"/>
        </w:rPr>
        <w:t>eadem</w:t>
      </w:r>
      <w:proofErr w:type="spellEnd"/>
      <w:r>
        <w:rPr>
          <w:rFonts w:ascii="Arial" w:hAnsi="Arial" w:cs="Arial"/>
          <w:sz w:val="20"/>
          <w:szCs w:val="20"/>
        </w:rPr>
        <w:t xml:space="preserve"> causa </w:t>
      </w:r>
      <w:proofErr w:type="spellStart"/>
      <w:r>
        <w:rPr>
          <w:rFonts w:ascii="Arial" w:hAnsi="Arial" w:cs="Arial"/>
          <w:sz w:val="20"/>
          <w:szCs w:val="20"/>
        </w:rPr>
        <w:t>obbligandi</w:t>
      </w:r>
      <w:proofErr w:type="spellEnd"/>
      <w:r>
        <w:rPr>
          <w:rFonts w:ascii="Arial" w:hAnsi="Arial" w:cs="Arial"/>
          <w:sz w:val="20"/>
          <w:szCs w:val="20"/>
        </w:rPr>
        <w:t xml:space="preserve">’, </w:t>
      </w:r>
      <w:r>
        <w:rPr>
          <w:rStyle w:val="grame"/>
          <w:rFonts w:ascii="Arial" w:hAnsi="Arial" w:cs="Arial"/>
          <w:sz w:val="20"/>
          <w:szCs w:val="20"/>
        </w:rPr>
        <w:t xml:space="preserve">la </w:t>
      </w:r>
      <w:r>
        <w:rPr>
          <w:rFonts w:ascii="Arial" w:hAnsi="Arial" w:cs="Arial"/>
          <w:sz w:val="20"/>
          <w:szCs w:val="20"/>
        </w:rPr>
        <w:t xml:space="preserve">unicità della causa: il contratto da cui l'obbligazione ha origine. È discutibile, invece, </w:t>
      </w:r>
      <w:r>
        <w:rPr>
          <w:rStyle w:val="grame"/>
          <w:rFonts w:ascii="Arial" w:hAnsi="Arial" w:cs="Arial"/>
          <w:sz w:val="20"/>
          <w:szCs w:val="20"/>
        </w:rPr>
        <w:t xml:space="preserve">la </w:t>
      </w:r>
      <w:r>
        <w:rPr>
          <w:rFonts w:ascii="Arial" w:hAnsi="Arial" w:cs="Arial"/>
          <w:sz w:val="20"/>
          <w:szCs w:val="20"/>
        </w:rPr>
        <w:t xml:space="preserve">unicità della prestazione (idem </w:t>
      </w:r>
      <w:proofErr w:type="spellStart"/>
      <w:r>
        <w:rPr>
          <w:rFonts w:ascii="Arial" w:hAnsi="Arial" w:cs="Arial"/>
          <w:sz w:val="20"/>
          <w:szCs w:val="20"/>
        </w:rPr>
        <w:t>debitum</w:t>
      </w:r>
      <w:proofErr w:type="spellEnd"/>
      <w:r>
        <w:rPr>
          <w:rFonts w:ascii="Arial" w:hAnsi="Arial" w:cs="Arial"/>
          <w:sz w:val="20"/>
          <w:szCs w:val="20"/>
        </w:rPr>
        <w:t xml:space="preserve">) che certamente è unica ed indivisibile per il creditore, il quale effettua una prestazione nell'interesse e in favore di tutti condomini (il rifacimento della facciata, l'impermeabilizzazione del tetto, la fornitura del carburante per il riscaldamento etc.). L'obbligazione dei condomini (condebitori), invece, consistendo in una somma di </w:t>
      </w:r>
      <w:r>
        <w:rPr>
          <w:rStyle w:val="grame"/>
          <w:rFonts w:ascii="Arial" w:hAnsi="Arial" w:cs="Arial"/>
          <w:sz w:val="20"/>
          <w:szCs w:val="20"/>
        </w:rPr>
        <w:t>danaro</w:t>
      </w:r>
      <w:r>
        <w:rPr>
          <w:rFonts w:ascii="Arial" w:hAnsi="Arial" w:cs="Arial"/>
          <w:sz w:val="20"/>
          <w:szCs w:val="20"/>
        </w:rPr>
        <w:t>, raffigura una prestazione comune, ma naturalisticamente divisibile.</w:t>
      </w:r>
    </w:p>
    <w:p w:rsidR="00DF3415" w:rsidRDefault="00DF3415" w:rsidP="00DF3415">
      <w:pPr>
        <w:pStyle w:val="NormaleWeb"/>
      </w:pPr>
      <w:r>
        <w:rPr>
          <w:rFonts w:ascii="Arial" w:hAnsi="Arial" w:cs="Arial"/>
          <w:sz w:val="20"/>
          <w:szCs w:val="20"/>
        </w:rPr>
        <w:lastRenderedPageBreak/>
        <w:t>Orbene, nessuna norma di legge espressamente dispone che il criterio della solidarietà si applichi alle obbligazioni dei condomini.</w:t>
      </w:r>
    </w:p>
    <w:p w:rsidR="00DF3415" w:rsidRDefault="00DF3415" w:rsidP="00DF3415">
      <w:pPr>
        <w:pStyle w:val="NormaleWeb"/>
      </w:pPr>
      <w:r>
        <w:rPr>
          <w:rFonts w:ascii="Arial" w:hAnsi="Arial" w:cs="Arial"/>
          <w:sz w:val="20"/>
          <w:szCs w:val="20"/>
        </w:rPr>
        <w:t xml:space="preserve">Non certo l'art. 1115 comma 1 cod. civ. Sotto la rubrica "obbligazioni solidali dei partecipanti", la norma stabilisce che ciascun </w:t>
      </w:r>
      <w:r>
        <w:rPr>
          <w:rStyle w:val="grame"/>
          <w:rFonts w:ascii="Arial" w:hAnsi="Arial" w:cs="Arial"/>
          <w:sz w:val="20"/>
          <w:szCs w:val="20"/>
        </w:rPr>
        <w:t>partecipante</w:t>
      </w:r>
      <w:r>
        <w:rPr>
          <w:rFonts w:ascii="Arial" w:hAnsi="Arial" w:cs="Arial"/>
          <w:sz w:val="20"/>
          <w:szCs w:val="20"/>
        </w:rPr>
        <w:t xml:space="preserve"> può esigere che siano estinte le obbligazioni contratte in solido per la cosa comune e che la somma per estinguerle sia ricavata dal prezzo di vendita della stessa cosa. La disposizione, in quanto si riferisce alle obbligazioni contratte in solido dai comunisti per la cosa comune, ha valore meramente descrittivo, non prescrittivo: non stabilisce che le obbligazioni debbano essere contratte in solido, ma regola le obbligazioni che, concretamente, sono contratte in solido. A parte ciò, la disposizione non riguarda il condominio negli edifici e non si applica al condominio, in quanto regola l'ipotesi di vendita della cosa comune. La disposizione, infatti, contempla la cosa comune soggetta a divisione e non le cose, gli impianti ed i servizi comuni del fabbricato, i quali sono contrassegnati dalla normale indivisibilità ai sensi dell'art. 1119 cod. civ. </w:t>
      </w:r>
      <w:r>
        <w:rPr>
          <w:rStyle w:val="grame"/>
          <w:rFonts w:ascii="Arial" w:hAnsi="Arial" w:cs="Arial"/>
          <w:sz w:val="20"/>
          <w:szCs w:val="20"/>
        </w:rPr>
        <w:t>e</w:t>
      </w:r>
      <w:r>
        <w:rPr>
          <w:rFonts w:ascii="Arial" w:hAnsi="Arial" w:cs="Arial"/>
          <w:sz w:val="20"/>
          <w:szCs w:val="20"/>
        </w:rPr>
        <w:t xml:space="preserve">, comunque, dalla assoluta </w:t>
      </w:r>
      <w:proofErr w:type="spellStart"/>
      <w:r>
        <w:rPr>
          <w:rFonts w:ascii="Arial" w:hAnsi="Arial" w:cs="Arial"/>
          <w:sz w:val="20"/>
          <w:szCs w:val="20"/>
        </w:rPr>
        <w:t>inespropriabilità</w:t>
      </w:r>
      <w:proofErr w:type="spellEnd"/>
      <w:r>
        <w:rPr>
          <w:rFonts w:ascii="Arial" w:hAnsi="Arial" w:cs="Arial"/>
          <w:sz w:val="20"/>
          <w:szCs w:val="20"/>
        </w:rPr>
        <w:t>.</w:t>
      </w:r>
    </w:p>
    <w:p w:rsidR="00DF3415" w:rsidRDefault="00DF3415" w:rsidP="00DF3415">
      <w:pPr>
        <w:pStyle w:val="NormaleWeb"/>
      </w:pPr>
      <w:r>
        <w:rPr>
          <w:rFonts w:ascii="Arial" w:hAnsi="Arial" w:cs="Arial"/>
          <w:sz w:val="20"/>
          <w:szCs w:val="20"/>
        </w:rPr>
        <w:t>D'altra parte, nelle obbligazioni dei condomini la parziarietà si riconduce all'art. 1123 cod. civ</w:t>
      </w:r>
      <w:r>
        <w:rPr>
          <w:rStyle w:val="grame"/>
          <w:rFonts w:ascii="Arial" w:hAnsi="Arial" w:cs="Arial"/>
          <w:sz w:val="20"/>
          <w:szCs w:val="20"/>
        </w:rPr>
        <w:t>.,</w:t>
      </w:r>
      <w:r>
        <w:rPr>
          <w:rFonts w:ascii="Arial" w:hAnsi="Arial" w:cs="Arial"/>
          <w:sz w:val="20"/>
          <w:szCs w:val="20"/>
        </w:rPr>
        <w:t xml:space="preserve"> interpretato valorizzando la relazione tra la titolarità della obbligazione e la quella della cosa. Si tratta </w:t>
      </w:r>
      <w:r>
        <w:rPr>
          <w:rStyle w:val="grame"/>
          <w:rFonts w:ascii="Arial" w:hAnsi="Arial" w:cs="Arial"/>
          <w:sz w:val="20"/>
          <w:szCs w:val="20"/>
        </w:rPr>
        <w:t xml:space="preserve">di </w:t>
      </w:r>
      <w:r>
        <w:rPr>
          <w:rFonts w:ascii="Arial" w:hAnsi="Arial" w:cs="Arial"/>
          <w:sz w:val="20"/>
          <w:szCs w:val="20"/>
        </w:rPr>
        <w:t xml:space="preserve">obbligazioni </w:t>
      </w:r>
      <w:proofErr w:type="spellStart"/>
      <w:r>
        <w:rPr>
          <w:rFonts w:ascii="Arial" w:hAnsi="Arial" w:cs="Arial"/>
          <w:sz w:val="20"/>
          <w:szCs w:val="20"/>
        </w:rPr>
        <w:t>propter</w:t>
      </w:r>
      <w:proofErr w:type="spellEnd"/>
      <w:r>
        <w:rPr>
          <w:rFonts w:ascii="Arial" w:hAnsi="Arial" w:cs="Arial"/>
          <w:sz w:val="20"/>
          <w:szCs w:val="20"/>
        </w:rPr>
        <w:t xml:space="preserve"> rem, che nascono come conseguenza dell'appartenenza in comune, in ragione della quota, delle cose, degli impianti e dei servizi e, solo in ragione della quota, a norma dell'art. 1123 cit., i condomini sono tenuti a contribuire alle spese per le parti comuni. Per la verità, la mera valenza interna del criterio di ripartizione raffigura un espediente elegante, ma privo di riscontro nei dati formali.</w:t>
      </w:r>
    </w:p>
    <w:p w:rsidR="00DF3415" w:rsidRDefault="00DF3415" w:rsidP="00DF3415">
      <w:pPr>
        <w:pStyle w:val="NormaleWeb"/>
      </w:pPr>
      <w:r>
        <w:rPr>
          <w:rStyle w:val="grame"/>
          <w:rFonts w:ascii="Arial" w:hAnsi="Arial" w:cs="Arial"/>
          <w:sz w:val="20"/>
          <w:szCs w:val="20"/>
        </w:rPr>
        <w:t>Se l'argomento che la ripartizione delle spese regolata dall'art. 1123 comma 1 cod. civ</w:t>
      </w:r>
      <w:r>
        <w:rPr>
          <w:rFonts w:ascii="Arial" w:hAnsi="Arial" w:cs="Arial"/>
          <w:sz w:val="20"/>
          <w:szCs w:val="20"/>
        </w:rPr>
        <w:t xml:space="preserve">. </w:t>
      </w:r>
      <w:r>
        <w:rPr>
          <w:rStyle w:val="grame"/>
          <w:rFonts w:ascii="Arial" w:hAnsi="Arial" w:cs="Arial"/>
          <w:sz w:val="20"/>
          <w:szCs w:val="20"/>
        </w:rPr>
        <w:t>riguardi</w:t>
      </w:r>
      <w:r>
        <w:rPr>
          <w:rFonts w:ascii="Arial" w:hAnsi="Arial" w:cs="Arial"/>
          <w:sz w:val="20"/>
          <w:szCs w:val="20"/>
        </w:rPr>
        <w:t xml:space="preserve"> il mero profilo interno non persuade, non convince neppure l'asserto che il comma 2 dello stesso art. 1223 - concernente la ripartizione delle spese per l'uso delle parti comuni destinate a servire i condomini in misura diversa, in proporzione all'uso che ciascuno può fame - renda impossibile l'attuazione parziaria all'esterno: con la conseguenza che, quanto all'attuazione, tutte le spese disciplinate dall'art. 1223 cit. devono essere regolate allo stesso modo.</w:t>
      </w:r>
    </w:p>
    <w:p w:rsidR="00DF3415" w:rsidRDefault="00DF3415" w:rsidP="00DF3415">
      <w:pPr>
        <w:pStyle w:val="NormaleWeb"/>
      </w:pPr>
      <w:r>
        <w:rPr>
          <w:rFonts w:ascii="Arial" w:hAnsi="Arial" w:cs="Arial"/>
          <w:sz w:val="20"/>
          <w:szCs w:val="20"/>
        </w:rPr>
        <w:t xml:space="preserve">Entrambe le ipotesi hanno in comune il collegamento con la res. Il primo comma riguarda le spese per la conservazione delle cose comuni, rispetto alle quali l'inerenza ai beni è immediata; il secondo comma concerne le spese per l'uso, in cui sussiste </w:t>
      </w:r>
      <w:r>
        <w:rPr>
          <w:rStyle w:val="grame"/>
          <w:rFonts w:ascii="Arial" w:hAnsi="Arial" w:cs="Arial"/>
          <w:sz w:val="20"/>
          <w:szCs w:val="20"/>
        </w:rPr>
        <w:t>comunque</w:t>
      </w:r>
      <w:r>
        <w:rPr>
          <w:rFonts w:ascii="Arial" w:hAnsi="Arial" w:cs="Arial"/>
          <w:sz w:val="20"/>
          <w:szCs w:val="20"/>
        </w:rPr>
        <w:t xml:space="preserve"> il collegamento con le cose: l'obbligazione, ancorché influenzata nel quantum dalla misura dell'uso diverso, non prescinde dalla contitolarità delle parti comuni, che ne costituisce il fondamento. In ultima analisi, configurandosi entrambe le obbligazioni come </w:t>
      </w:r>
      <w:proofErr w:type="spellStart"/>
      <w:r>
        <w:rPr>
          <w:rFonts w:ascii="Arial" w:hAnsi="Arial" w:cs="Arial"/>
          <w:sz w:val="20"/>
          <w:szCs w:val="20"/>
        </w:rPr>
        <w:t>obligationes</w:t>
      </w:r>
      <w:proofErr w:type="spellEnd"/>
      <w:r>
        <w:rPr>
          <w:rFonts w:ascii="Arial" w:hAnsi="Arial" w:cs="Arial"/>
          <w:sz w:val="20"/>
          <w:szCs w:val="20"/>
        </w:rPr>
        <w:t xml:space="preserve"> </w:t>
      </w:r>
      <w:proofErr w:type="spellStart"/>
      <w:r>
        <w:rPr>
          <w:rFonts w:ascii="Arial" w:hAnsi="Arial" w:cs="Arial"/>
          <w:sz w:val="20"/>
          <w:szCs w:val="20"/>
        </w:rPr>
        <w:t>propter</w:t>
      </w:r>
      <w:proofErr w:type="spellEnd"/>
      <w:r>
        <w:rPr>
          <w:rFonts w:ascii="Arial" w:hAnsi="Arial" w:cs="Arial"/>
          <w:sz w:val="20"/>
          <w:szCs w:val="20"/>
        </w:rPr>
        <w:t xml:space="preserve"> rem, in quanto connesse con la titolarità del diritto reale sulle parti comuni, ed essendo queste obbligazioni comuni naturalisticamente divisibili ex </w:t>
      </w:r>
      <w:r>
        <w:rPr>
          <w:rStyle w:val="grame"/>
          <w:rFonts w:ascii="Arial" w:hAnsi="Arial" w:cs="Arial"/>
          <w:sz w:val="20"/>
          <w:szCs w:val="20"/>
        </w:rPr>
        <w:t>parte</w:t>
      </w:r>
      <w:r>
        <w:rPr>
          <w:rFonts w:ascii="Arial" w:hAnsi="Arial" w:cs="Arial"/>
          <w:sz w:val="20"/>
          <w:szCs w:val="20"/>
        </w:rPr>
        <w:t xml:space="preserve"> </w:t>
      </w:r>
      <w:proofErr w:type="spellStart"/>
      <w:r>
        <w:rPr>
          <w:rFonts w:ascii="Arial" w:hAnsi="Arial" w:cs="Arial"/>
          <w:sz w:val="20"/>
          <w:szCs w:val="20"/>
        </w:rPr>
        <w:t>debitoris</w:t>
      </w:r>
      <w:proofErr w:type="spellEnd"/>
      <w:r>
        <w:rPr>
          <w:rFonts w:ascii="Arial" w:hAnsi="Arial" w:cs="Arial"/>
          <w:sz w:val="20"/>
          <w:szCs w:val="20"/>
        </w:rPr>
        <w:t>, il vincolo solidale risulta inapplicabile e prevale la struttura intrinsecamente parziaria delle obbligazioni. D'altra parte, per la loro ripartizione in pratica si può sempre fare riferimento alle diverse tabelle millesimali relative alla proprietà ed alla misura dell'uso.</w:t>
      </w:r>
    </w:p>
    <w:p w:rsidR="00DF3415" w:rsidRDefault="00DF3415" w:rsidP="00DF3415">
      <w:pPr>
        <w:pStyle w:val="NormaleWeb"/>
      </w:pPr>
      <w:r>
        <w:rPr>
          <w:rFonts w:ascii="Arial" w:hAnsi="Arial" w:cs="Arial"/>
          <w:sz w:val="20"/>
          <w:szCs w:val="20"/>
        </w:rPr>
        <w:t xml:space="preserve">2.5 Né la solidarietà può ricondursi </w:t>
      </w:r>
      <w:r>
        <w:rPr>
          <w:rStyle w:val="grame"/>
          <w:rFonts w:ascii="Arial" w:hAnsi="Arial" w:cs="Arial"/>
          <w:sz w:val="20"/>
          <w:szCs w:val="20"/>
        </w:rPr>
        <w:t xml:space="preserve">alla </w:t>
      </w:r>
      <w:r>
        <w:rPr>
          <w:rFonts w:ascii="Arial" w:hAnsi="Arial" w:cs="Arial"/>
          <w:sz w:val="20"/>
          <w:szCs w:val="20"/>
        </w:rPr>
        <w:t>asserita unitarietà del gruppo dei condomini.</w:t>
      </w:r>
    </w:p>
    <w:p w:rsidR="00DF3415" w:rsidRDefault="00DF3415" w:rsidP="00DF3415">
      <w:pPr>
        <w:pStyle w:val="NormaleWeb"/>
      </w:pPr>
      <w:r>
        <w:rPr>
          <w:rFonts w:ascii="Arial" w:hAnsi="Arial" w:cs="Arial"/>
          <w:sz w:val="20"/>
          <w:szCs w:val="20"/>
        </w:rPr>
        <w:t xml:space="preserve">Dalla giurisprudenza, il condominio si definisce come "ente di gestione", per dare conto del fatto che la legittimazione dell'amministratore non priva i singoli partecipanti della loro legittimazione ad agire in giudizio in difesa dei diritti </w:t>
      </w:r>
      <w:r>
        <w:rPr>
          <w:rStyle w:val="grame"/>
          <w:rFonts w:ascii="Arial" w:hAnsi="Arial" w:cs="Arial"/>
          <w:sz w:val="20"/>
          <w:szCs w:val="20"/>
        </w:rPr>
        <w:t>relativi alle</w:t>
      </w:r>
      <w:r>
        <w:rPr>
          <w:rFonts w:ascii="Arial" w:hAnsi="Arial" w:cs="Arial"/>
          <w:sz w:val="20"/>
          <w:szCs w:val="20"/>
        </w:rPr>
        <w:t xml:space="preserve"> parti comuni; di avvalersi autonomamente dei mezzi di impugnazione; di intervenire nei giudizi intrapresi dall'amministratore, ecc..</w:t>
      </w:r>
    </w:p>
    <w:p w:rsidR="00DF3415" w:rsidRDefault="00DF3415" w:rsidP="00DF3415">
      <w:pPr>
        <w:pStyle w:val="NormaleWeb"/>
      </w:pPr>
      <w:r>
        <w:rPr>
          <w:rFonts w:ascii="Arial" w:hAnsi="Arial" w:cs="Arial"/>
          <w:sz w:val="20"/>
          <w:szCs w:val="20"/>
        </w:rPr>
        <w:t xml:space="preserve">Ma la figura dell'ente, ancorché di mera gestione, suppone che coloro i quali ne hanno la rappresentanza non </w:t>
      </w:r>
      <w:r>
        <w:rPr>
          <w:rStyle w:val="grame"/>
          <w:rFonts w:ascii="Arial" w:hAnsi="Arial" w:cs="Arial"/>
          <w:sz w:val="20"/>
          <w:szCs w:val="20"/>
        </w:rPr>
        <w:t>vengano</w:t>
      </w:r>
      <w:r>
        <w:rPr>
          <w:rFonts w:ascii="Arial" w:hAnsi="Arial" w:cs="Arial"/>
          <w:sz w:val="20"/>
          <w:szCs w:val="20"/>
        </w:rPr>
        <w:t xml:space="preserve"> surrogati dai partecipanti. D'altra parte, gli enti di gestione in senso tecnico raffigurano una categoria definita ancorché non unitaria, ai quali dalle leggi sono assegnati compiti e responsabilità differenti e la disciplina eterogenea si </w:t>
      </w:r>
      <w:r>
        <w:rPr>
          <w:rStyle w:val="grame"/>
          <w:rFonts w:ascii="Arial" w:hAnsi="Arial" w:cs="Arial"/>
          <w:sz w:val="20"/>
          <w:szCs w:val="20"/>
        </w:rPr>
        <w:t>adegua</w:t>
      </w:r>
      <w:r>
        <w:rPr>
          <w:rFonts w:ascii="Arial" w:hAnsi="Arial" w:cs="Arial"/>
          <w:sz w:val="20"/>
          <w:szCs w:val="20"/>
        </w:rPr>
        <w:t xml:space="preserve"> alle disparate finalità perseguite (art. 3 legge 22 dicembre 1956, n. 1589). Gli enti di gestione operano in concreto attraverso le società per azioni di diritto comune, delle quali detengono le partecipazioni azionarie e che organizzano nei modi più opportuni: in attuazione delle direttive governative, razionalizzano le attività controllate, coordinano i programmi e assicurano l'assistenza finanziaria mediante i fondi di dotazione. Per la struttura, gli enti di gestione si contrassegnano in ragione della soggettività (personalità giuridica pubblica) e dell'autonomia patrimoniale (la titolarità delle partecipazioni azionarie e del fondo di dotazione).</w:t>
      </w:r>
    </w:p>
    <w:p w:rsidR="00DF3415" w:rsidRDefault="00DF3415" w:rsidP="00DF3415">
      <w:pPr>
        <w:pStyle w:val="NormaleWeb"/>
      </w:pPr>
      <w:r>
        <w:rPr>
          <w:rFonts w:ascii="Arial" w:hAnsi="Arial" w:cs="Arial"/>
          <w:sz w:val="20"/>
          <w:szCs w:val="20"/>
        </w:rPr>
        <w:t xml:space="preserve">Orbene, nonostante l'opinabile rassomiglianza della funzione - il fatto che l'amministratore e l'assemblea gestiscano le parti comuni per conto dei condomini, ai quali le parti comuni appartengono - le ragguardevoli </w:t>
      </w:r>
      <w:r>
        <w:rPr>
          <w:rFonts w:ascii="Arial" w:hAnsi="Arial" w:cs="Arial"/>
          <w:sz w:val="20"/>
          <w:szCs w:val="20"/>
        </w:rPr>
        <w:lastRenderedPageBreak/>
        <w:t xml:space="preserve">diversità della struttura dimostrano </w:t>
      </w:r>
      <w:r>
        <w:rPr>
          <w:rStyle w:val="grame"/>
          <w:rFonts w:ascii="Arial" w:hAnsi="Arial" w:cs="Arial"/>
          <w:sz w:val="20"/>
          <w:szCs w:val="20"/>
        </w:rPr>
        <w:t xml:space="preserve">la </w:t>
      </w:r>
      <w:r>
        <w:rPr>
          <w:rFonts w:ascii="Arial" w:hAnsi="Arial" w:cs="Arial"/>
          <w:sz w:val="20"/>
          <w:szCs w:val="20"/>
        </w:rPr>
        <w:t>inconsistenza del ripetuto e acritico riferimento dell'ente di gestione al condominio negli edifici.</w:t>
      </w:r>
    </w:p>
    <w:p w:rsidR="00DF3415" w:rsidRDefault="00DF3415" w:rsidP="00DF3415">
      <w:pPr>
        <w:pStyle w:val="NormaleWeb"/>
      </w:pPr>
      <w:r>
        <w:rPr>
          <w:rFonts w:ascii="Arial" w:hAnsi="Arial" w:cs="Arial"/>
          <w:sz w:val="20"/>
          <w:szCs w:val="20"/>
        </w:rPr>
        <w:t xml:space="preserve">Il condominio, infatti, non è titolare di un patrimonio autonomo, né di diritti e </w:t>
      </w:r>
      <w:r>
        <w:rPr>
          <w:rStyle w:val="grame"/>
          <w:rFonts w:ascii="Arial" w:hAnsi="Arial" w:cs="Arial"/>
          <w:sz w:val="20"/>
          <w:szCs w:val="20"/>
        </w:rPr>
        <w:t xml:space="preserve">di </w:t>
      </w:r>
      <w:r>
        <w:rPr>
          <w:rFonts w:ascii="Arial" w:hAnsi="Arial" w:cs="Arial"/>
          <w:sz w:val="20"/>
          <w:szCs w:val="20"/>
        </w:rPr>
        <w:t>obbligazioni: la titolarità dei diritti sulle cose, gli impianti e i servizi di uso comune, in effetti, fa capo ai singoli condomini; agli stessi condomini sono ascritte le obbligazioni per le cose, gli impianti ed i servizi comuni e la relativa responsabilità; le obbligazioni contratte nel cosiddetto interesse del condominio non si contraggono in favore di un ente, ma nell'interesse dei singoli partecipanti.</w:t>
      </w:r>
    </w:p>
    <w:p w:rsidR="00DF3415" w:rsidRDefault="00DF3415" w:rsidP="00DF3415">
      <w:pPr>
        <w:pStyle w:val="NormaleWeb"/>
      </w:pPr>
      <w:r>
        <w:rPr>
          <w:rFonts w:ascii="Arial" w:hAnsi="Arial" w:cs="Arial"/>
          <w:sz w:val="20"/>
          <w:szCs w:val="20"/>
        </w:rPr>
        <w:t>Secondo la giurisprudenza consolidata, poi, l'amministratore del condominio raffigura un ufficio di diritto privato assimilabile al mandato con rappresentanza: con la conseguente applicazione, nei rapporti tra l'amministratore e ciascuno dei condomini, delle disposizioni sul mandato.</w:t>
      </w:r>
    </w:p>
    <w:p w:rsidR="00DF3415" w:rsidRDefault="00DF3415" w:rsidP="00DF3415">
      <w:pPr>
        <w:pStyle w:val="NormaleWeb"/>
      </w:pPr>
      <w:r>
        <w:rPr>
          <w:rFonts w:ascii="Arial" w:hAnsi="Arial" w:cs="Arial"/>
          <w:sz w:val="20"/>
          <w:szCs w:val="20"/>
        </w:rPr>
        <w:t>Orbene, la rappresentanza, non soltanto processuale, dell'amministratore del condominio è circoscritta alle attribuzioni - ai compiti ed ai poteri - stabilite dall'art. 1130 cod. civ</w:t>
      </w:r>
      <w:r>
        <w:rPr>
          <w:rStyle w:val="grame"/>
          <w:rFonts w:ascii="Arial" w:hAnsi="Arial" w:cs="Arial"/>
          <w:sz w:val="20"/>
          <w:szCs w:val="20"/>
        </w:rPr>
        <w:t>..</w:t>
      </w:r>
    </w:p>
    <w:p w:rsidR="00DF3415" w:rsidRDefault="00DF3415" w:rsidP="00DF3415">
      <w:pPr>
        <w:pStyle w:val="NormaleWeb"/>
      </w:pPr>
      <w:r>
        <w:rPr>
          <w:rFonts w:ascii="Arial" w:hAnsi="Arial" w:cs="Arial"/>
          <w:sz w:val="20"/>
          <w:szCs w:val="20"/>
        </w:rPr>
        <w:t xml:space="preserve">In giudizio l'amministratore rappresenta i singoli condomini, i quali sono parti in causa nei limiti della loro quota (art. 1118 e 1123 cod. civ.). L'amministratore agisce in giudizio per la tutela dei diritti di ciascuno </w:t>
      </w:r>
      <w:r>
        <w:rPr>
          <w:rStyle w:val="grame"/>
          <w:rFonts w:ascii="Arial" w:hAnsi="Arial" w:cs="Arial"/>
          <w:sz w:val="20"/>
          <w:szCs w:val="20"/>
        </w:rPr>
        <w:t>dei</w:t>
      </w:r>
      <w:r>
        <w:rPr>
          <w:rFonts w:ascii="Arial" w:hAnsi="Arial" w:cs="Arial"/>
          <w:sz w:val="20"/>
          <w:szCs w:val="20"/>
        </w:rPr>
        <w:t xml:space="preserve"> condomini, nei limiti della loro quota, e solo in questa misura ognuno dei condomini rappresentati deve rispondere delle conseguenze negative. Del resto, l'amministratore non ha certo il potere di impegnare i condomini </w:t>
      </w:r>
      <w:r>
        <w:rPr>
          <w:rStyle w:val="grame"/>
          <w:rFonts w:ascii="Arial" w:hAnsi="Arial" w:cs="Arial"/>
          <w:sz w:val="20"/>
          <w:szCs w:val="20"/>
        </w:rPr>
        <w:t>al di là del</w:t>
      </w:r>
      <w:r>
        <w:rPr>
          <w:rFonts w:ascii="Arial" w:hAnsi="Arial" w:cs="Arial"/>
          <w:sz w:val="20"/>
          <w:szCs w:val="20"/>
        </w:rPr>
        <w:t xml:space="preserve"> diritto, che ciascuno di essi ha nella comunione, in virtù della legge, degli atti d'acquisto e delle convenzioni. In proporzione a tale diritto ogni partecipante concorre alla nomina dell'amministratore e in proporzione a tale diritto deve ritenersi che gli conferisca la rappresentanza in giudizio. Basti pensare che, nel caso in cui l'amministratore </w:t>
      </w:r>
      <w:r>
        <w:rPr>
          <w:rStyle w:val="grame"/>
          <w:rFonts w:ascii="Arial" w:hAnsi="Arial" w:cs="Arial"/>
          <w:sz w:val="20"/>
          <w:szCs w:val="20"/>
        </w:rPr>
        <w:t>agisca</w:t>
      </w:r>
      <w:r>
        <w:rPr>
          <w:rFonts w:ascii="Arial" w:hAnsi="Arial" w:cs="Arial"/>
          <w:sz w:val="20"/>
          <w:szCs w:val="20"/>
        </w:rPr>
        <w:t xml:space="preserve"> o sia convenuto in giudizio per la tutela di un diritto, il quale fa capo solo a determinati condomini, soltanto i condomini interessati partecipano al giudizio ed essi soltanto rispondono delle conseguenze della lite.</w:t>
      </w:r>
    </w:p>
    <w:p w:rsidR="00DF3415" w:rsidRDefault="00DF3415" w:rsidP="00DF3415">
      <w:pPr>
        <w:pStyle w:val="NormaleWeb"/>
      </w:pPr>
      <w:r>
        <w:rPr>
          <w:rFonts w:ascii="Arial" w:hAnsi="Arial" w:cs="Arial"/>
          <w:sz w:val="20"/>
          <w:szCs w:val="20"/>
        </w:rPr>
        <w:t xml:space="preserve">Pertanto, l'amministratore - in quanto non può obbligare i singoli condomini se non nei limiti dei suoi poteri, che non contemplano la modifica dei criteri </w:t>
      </w:r>
      <w:r>
        <w:rPr>
          <w:rStyle w:val="grame"/>
          <w:rFonts w:ascii="Arial" w:hAnsi="Arial" w:cs="Arial"/>
          <w:sz w:val="20"/>
          <w:szCs w:val="20"/>
        </w:rPr>
        <w:t xml:space="preserve">di </w:t>
      </w:r>
      <w:r>
        <w:rPr>
          <w:rFonts w:ascii="Arial" w:hAnsi="Arial" w:cs="Arial"/>
          <w:sz w:val="20"/>
          <w:szCs w:val="20"/>
        </w:rPr>
        <w:t>imputazione e di ripartizione delle spese stabiliti dall'art. 1123 c.c. - non può obbligare i singoli condomini se non nei limiti della rispettiva quota.</w:t>
      </w:r>
    </w:p>
    <w:p w:rsidR="00DF3415" w:rsidRDefault="00DF3415" w:rsidP="00DF3415">
      <w:pPr>
        <w:pStyle w:val="NormaleWeb"/>
      </w:pPr>
      <w:r>
        <w:rPr>
          <w:rFonts w:ascii="Arial" w:hAnsi="Arial" w:cs="Arial"/>
          <w:sz w:val="20"/>
          <w:szCs w:val="20"/>
        </w:rPr>
        <w:t xml:space="preserve">2.5 </w:t>
      </w:r>
      <w:r>
        <w:rPr>
          <w:rFonts w:ascii="Arial" w:hAnsi="Arial" w:cs="Arial"/>
          <w:b/>
          <w:bCs/>
          <w:sz w:val="20"/>
          <w:szCs w:val="20"/>
        </w:rPr>
        <w:t xml:space="preserve">Riepilogando, ritenuto che la solidarietà passiva, in linea di principio, esige la sussistenza non soltanto della pluralità dei debitori e </w:t>
      </w:r>
      <w:r>
        <w:rPr>
          <w:rStyle w:val="grame"/>
          <w:rFonts w:ascii="Arial" w:hAnsi="Arial" w:cs="Arial"/>
          <w:b/>
          <w:bCs/>
          <w:sz w:val="20"/>
          <w:szCs w:val="20"/>
        </w:rPr>
        <w:t xml:space="preserve">della </w:t>
      </w:r>
      <w:r>
        <w:rPr>
          <w:rFonts w:ascii="Arial" w:hAnsi="Arial" w:cs="Arial"/>
          <w:b/>
          <w:bCs/>
          <w:sz w:val="20"/>
          <w:szCs w:val="20"/>
        </w:rPr>
        <w:t xml:space="preserve">identica causa dell'obbligazione, ma altresì della indivisibilità della prestazione comune; che in mancanza di quest'ultimo requisito e in difetto di una espressa disposizione di legge, la intrinseca parziarietà della obbligazione prevale; considerato che l'obbligazione ascritta a tutti i condomini, ancorché comune, è divisibile, trattandosi di somma di danaro; che la solidarietà nel condominio non è contemplata da nessuna disposizione di legge e che l'art. 1123 cit., interpretato secondo il significato letterale e secondo il sistema in cui si inserisce, non distingue il profilo esterno e quello interno; rilevato, infine, che - in conformità con il difetto di struttura unitaria del condominio, la cui organizzazione non incide sulla titolarità individuale dei diritti, delle obbligazioni e della relativa responsabilità - l'amministratore vincola i singoli nei limiti delle sue attribuzioni e del mandato conferitogli in ragione delle quote: tutto ciò premesso, le obbligazioni e la susseguente responsabilità dei condomini sono governate dal criterio dalla parziarietà. Ai singoli </w:t>
      </w:r>
      <w:r>
        <w:rPr>
          <w:rStyle w:val="grame"/>
          <w:rFonts w:ascii="Arial" w:hAnsi="Arial" w:cs="Arial"/>
          <w:b/>
          <w:bCs/>
          <w:sz w:val="20"/>
          <w:szCs w:val="20"/>
        </w:rPr>
        <w:t xml:space="preserve">si </w:t>
      </w:r>
      <w:r>
        <w:rPr>
          <w:rFonts w:ascii="Arial" w:hAnsi="Arial" w:cs="Arial"/>
          <w:b/>
          <w:bCs/>
          <w:sz w:val="20"/>
          <w:szCs w:val="20"/>
        </w:rPr>
        <w:t>imputano, in proporzione alle rispettive quote, le obbligazioni assunte nel cosiddetto "interesse del condominio", in relazione alle spese per la</w:t>
      </w:r>
      <w:r>
        <w:rPr>
          <w:rFonts w:ascii="Arial" w:hAnsi="Arial" w:cs="Arial"/>
          <w:sz w:val="20"/>
          <w:szCs w:val="20"/>
        </w:rPr>
        <w:t xml:space="preserve"> </w:t>
      </w:r>
      <w:r>
        <w:rPr>
          <w:rFonts w:ascii="Arial" w:hAnsi="Arial" w:cs="Arial"/>
          <w:b/>
          <w:bCs/>
          <w:sz w:val="20"/>
          <w:szCs w:val="20"/>
        </w:rPr>
        <w:t>conservazione e per il godimento delle cose comuni dell'edificio, per la prestazione dei servizi nell'interesse comune e per le innovazioni deliberate dalla maggioranza. Pertanto, le obbligazioni dei condomini sono regolate da criteri consimili a quelli dettati dagli artt. 752 e 1295 cod. civ</w:t>
      </w:r>
      <w:r>
        <w:rPr>
          <w:rStyle w:val="grame"/>
          <w:rFonts w:ascii="Arial" w:hAnsi="Arial" w:cs="Arial"/>
          <w:b/>
          <w:bCs/>
          <w:sz w:val="20"/>
          <w:szCs w:val="20"/>
        </w:rPr>
        <w:t>.,</w:t>
      </w:r>
      <w:r>
        <w:rPr>
          <w:rFonts w:ascii="Arial" w:hAnsi="Arial" w:cs="Arial"/>
          <w:b/>
          <w:bCs/>
          <w:sz w:val="20"/>
          <w:szCs w:val="20"/>
        </w:rPr>
        <w:t xml:space="preserve"> per le obbligazioni ereditarie, secondo cui i coeredi concorrono al pagamento dei debiti ereditali in proporzione alle loro quote e l'obbligazione in solido di uno dei condebitori tra gli eredi si ripartisce in proporzione alle quote ereditarie.</w:t>
      </w:r>
    </w:p>
    <w:p w:rsidR="00DF3415" w:rsidRDefault="00DF3415" w:rsidP="00DF3415">
      <w:pPr>
        <w:pStyle w:val="NormaleWeb"/>
      </w:pPr>
      <w:r>
        <w:rPr>
          <w:rFonts w:ascii="Arial" w:hAnsi="Arial" w:cs="Arial"/>
          <w:sz w:val="20"/>
          <w:szCs w:val="20"/>
        </w:rPr>
        <w:t xml:space="preserve">2.6 </w:t>
      </w:r>
      <w:r>
        <w:rPr>
          <w:rFonts w:ascii="Arial" w:hAnsi="Arial" w:cs="Arial"/>
          <w:b/>
          <w:bCs/>
          <w:sz w:val="20"/>
          <w:szCs w:val="20"/>
        </w:rPr>
        <w:t>Il contratto, stipulato dall'amministratore rappresentante, in nome e nell'interesse dei condomini rappresentati e nei limiti delle facoltà conferitegli, produce direttamente effetti nei confronti dei rappresentati. Conseguita nel processo la condanna dell'amministratore, quale rappresentante dei condomini, il creditore può procedere all'esecuzione individualmente nei confronti dei singoli, secondo la quota di ciascuno.</w:t>
      </w:r>
    </w:p>
    <w:p w:rsidR="00DF3415" w:rsidRDefault="00DF3415" w:rsidP="00DF3415">
      <w:pPr>
        <w:pStyle w:val="NormaleWeb"/>
      </w:pPr>
      <w:r>
        <w:rPr>
          <w:rFonts w:ascii="Arial" w:hAnsi="Arial" w:cs="Arial"/>
          <w:sz w:val="20"/>
          <w:szCs w:val="20"/>
        </w:rPr>
        <w:lastRenderedPageBreak/>
        <w:t xml:space="preserve">Per </w:t>
      </w:r>
      <w:r>
        <w:rPr>
          <w:rStyle w:val="grame"/>
          <w:rFonts w:ascii="Arial" w:hAnsi="Arial" w:cs="Arial"/>
          <w:sz w:val="20"/>
          <w:szCs w:val="20"/>
        </w:rPr>
        <w:t>concludere</w:t>
      </w:r>
      <w:r>
        <w:rPr>
          <w:rFonts w:ascii="Arial" w:hAnsi="Arial" w:cs="Arial"/>
          <w:sz w:val="20"/>
          <w:szCs w:val="20"/>
        </w:rPr>
        <w:t>, la soluzione, prescelta secondo i rigorosi principi di diritto che regolano le obbligazioni contrattuali comuni con pluralità di soggetti passivi, appare adeguata alle esigenze di giustizia sostanziale emergenti dalla realtà economica e sociale del condominio negli edifici.</w:t>
      </w:r>
    </w:p>
    <w:p w:rsidR="00DF3415" w:rsidRDefault="00DF3415" w:rsidP="00DF3415">
      <w:pPr>
        <w:pStyle w:val="NormaleWeb"/>
      </w:pPr>
      <w:r>
        <w:rPr>
          <w:rFonts w:ascii="Arial" w:hAnsi="Arial" w:cs="Arial"/>
          <w:sz w:val="20"/>
          <w:szCs w:val="20"/>
        </w:rPr>
        <w:t xml:space="preserve">Per la verità, la solidarietà avvantaggerebbe il creditore il quale, contrattando con l'amministratore del condominio, conosce la situazione della parte debitrice e può cautelarsi in vari modi; ma appare preferibile il criterio della parziarietà, che non costringe i debitori ad anticipare somme a volte rilevantissime in seguito alla scelta (inattesa) operata unilateralmente dal creditore. Allo stesso tempo, non si riscontrano ragioni </w:t>
      </w:r>
      <w:r>
        <w:rPr>
          <w:rStyle w:val="grame"/>
          <w:rFonts w:ascii="Arial" w:hAnsi="Arial" w:cs="Arial"/>
          <w:sz w:val="20"/>
          <w:szCs w:val="20"/>
        </w:rPr>
        <w:t xml:space="preserve">di </w:t>
      </w:r>
      <w:r>
        <w:rPr>
          <w:rFonts w:ascii="Arial" w:hAnsi="Arial" w:cs="Arial"/>
          <w:sz w:val="20"/>
          <w:szCs w:val="20"/>
        </w:rPr>
        <w:t>opportunità per posticipare la ripartizione del debito tra i condomini al tempo della rivalsa, piuttosto che attuarla al momento dell'adempimento.</w:t>
      </w:r>
    </w:p>
    <w:p w:rsidR="00DF3415" w:rsidRDefault="00DF3415" w:rsidP="00DF3415">
      <w:pPr>
        <w:pStyle w:val="NormaleWeb"/>
      </w:pPr>
      <w:r>
        <w:rPr>
          <w:rFonts w:ascii="Arial" w:hAnsi="Arial" w:cs="Arial"/>
          <w:sz w:val="20"/>
          <w:szCs w:val="20"/>
        </w:rPr>
        <w:t>Respinto il motivo principale, non merita accoglimento nessuno degli altri motivi di ricorso.</w:t>
      </w:r>
    </w:p>
    <w:p w:rsidR="00DF3415" w:rsidRDefault="00DF3415" w:rsidP="00DF3415">
      <w:pPr>
        <w:pStyle w:val="NormaleWeb"/>
      </w:pPr>
      <w:r>
        <w:rPr>
          <w:rFonts w:ascii="Arial" w:hAnsi="Arial" w:cs="Arial"/>
          <w:sz w:val="20"/>
          <w:szCs w:val="20"/>
        </w:rPr>
        <w:t xml:space="preserve">Non il secondo ed il sesto. </w:t>
      </w:r>
      <w:r>
        <w:rPr>
          <w:rStyle w:val="grame"/>
          <w:rFonts w:ascii="Arial" w:hAnsi="Arial" w:cs="Arial"/>
          <w:sz w:val="20"/>
          <w:szCs w:val="20"/>
        </w:rPr>
        <w:t xml:space="preserve">Stando alle disposizioni sul condominio (art. 67 </w:t>
      </w:r>
      <w:proofErr w:type="spellStart"/>
      <w:r>
        <w:rPr>
          <w:rStyle w:val="grame"/>
          <w:rFonts w:ascii="Arial" w:hAnsi="Arial" w:cs="Arial"/>
          <w:sz w:val="20"/>
          <w:szCs w:val="20"/>
        </w:rPr>
        <w:t>disp</w:t>
      </w:r>
      <w:proofErr w:type="spellEnd"/>
      <w:r>
        <w:rPr>
          <w:rFonts w:ascii="Arial" w:hAnsi="Arial" w:cs="Arial"/>
          <w:sz w:val="20"/>
          <w:szCs w:val="20"/>
        </w:rPr>
        <w:t xml:space="preserve">. </w:t>
      </w:r>
      <w:proofErr w:type="spellStart"/>
      <w:r>
        <w:rPr>
          <w:rStyle w:val="grame"/>
          <w:rFonts w:ascii="Arial" w:hAnsi="Arial" w:cs="Arial"/>
          <w:sz w:val="20"/>
          <w:szCs w:val="20"/>
        </w:rPr>
        <w:t>att</w:t>
      </w:r>
      <w:proofErr w:type="spellEnd"/>
      <w:r>
        <w:rPr>
          <w:rFonts w:ascii="Arial" w:hAnsi="Arial" w:cs="Arial"/>
          <w:sz w:val="20"/>
          <w:szCs w:val="20"/>
        </w:rPr>
        <w:t>., del resto in conformità con quanto stabilito per le spese gravanti sull'usufrutto dagli artt. 1004 e 1005 cod. civ.), fanno carico all'usufruttuario le spese attinenti all'ordinaria amministrazione ed al semplice godimento delle cose e dei servizi comuni, mentre le innovazioni, le ricostruzioni e le spese di manutenzione straordinaria competono al proprietario: ma le spese fanno capo all'usufruttuario limitatamente al tempo in cui egli è titolare del diritto reale su cosa altrui. Correttamente, perciò, la Corte d'Appello non ha considerato responsabile A. R., in quanto l'usufrutto da lui era stato acquistato in epoca successiva alla data, in cui l'esecuzione dei lavori era stata commissionata ed eseguita.</w:t>
      </w:r>
    </w:p>
    <w:p w:rsidR="00DF3415" w:rsidRDefault="00DF3415" w:rsidP="00DF3415">
      <w:pPr>
        <w:pStyle w:val="NormaleWeb"/>
      </w:pPr>
      <w:r>
        <w:rPr>
          <w:rStyle w:val="grame"/>
          <w:rFonts w:ascii="Arial" w:hAnsi="Arial" w:cs="Arial"/>
          <w:sz w:val="20"/>
          <w:szCs w:val="20"/>
        </w:rPr>
        <w:t>Non il terzo motivo, posto che il giudice del merito ha preso in esame la questione di diritto inerente alla la controversia e ritenuta indispensabile per la decisione.</w:t>
      </w:r>
    </w:p>
    <w:p w:rsidR="00DF3415" w:rsidRDefault="00DF3415" w:rsidP="00DF3415">
      <w:pPr>
        <w:pStyle w:val="NormaleWeb"/>
      </w:pPr>
      <w:r>
        <w:rPr>
          <w:rStyle w:val="grame"/>
          <w:rFonts w:ascii="Arial" w:hAnsi="Arial" w:cs="Arial"/>
          <w:sz w:val="20"/>
          <w:szCs w:val="20"/>
        </w:rPr>
        <w:t>Non il quarto ed il quinto motivo, in quanto la decisione sulle spese processuali è rimessa al giudice del merito, con il solo limite di non condannare la parte interamente vittoriosa.</w:t>
      </w:r>
    </w:p>
    <w:p w:rsidR="00DF3415" w:rsidRDefault="00DF3415" w:rsidP="00DF3415">
      <w:pPr>
        <w:pStyle w:val="NormaleWeb"/>
      </w:pPr>
      <w:r>
        <w:rPr>
          <w:rStyle w:val="grame"/>
          <w:rFonts w:ascii="Arial" w:hAnsi="Arial" w:cs="Arial"/>
          <w:sz w:val="20"/>
          <w:szCs w:val="20"/>
        </w:rPr>
        <w:t>Avuto riguardo alla difficoltà della materia ed al contrasto esistente in giurisprudenza, si ravvisano i giusti motivi per compensare interamente tra le parti le spese processuali.</w:t>
      </w:r>
    </w:p>
    <w:p w:rsidR="00DF3415" w:rsidRDefault="00DF3415" w:rsidP="00DF3415">
      <w:pPr>
        <w:pStyle w:val="NormaleWeb"/>
        <w:jc w:val="center"/>
      </w:pPr>
      <w:r>
        <w:rPr>
          <w:rStyle w:val="grame"/>
          <w:rFonts w:ascii="Arial" w:hAnsi="Arial" w:cs="Arial"/>
          <w:b/>
          <w:bCs/>
          <w:sz w:val="20"/>
          <w:szCs w:val="20"/>
        </w:rPr>
        <w:t>P.Q.M.</w:t>
      </w:r>
    </w:p>
    <w:p w:rsidR="00DF3415" w:rsidRDefault="00DF3415" w:rsidP="00DF3415">
      <w:pPr>
        <w:pStyle w:val="NormaleWeb"/>
      </w:pPr>
      <w:r>
        <w:rPr>
          <w:rStyle w:val="grame"/>
          <w:rFonts w:ascii="Arial" w:hAnsi="Arial" w:cs="Arial"/>
          <w:b/>
          <w:bCs/>
          <w:sz w:val="20"/>
          <w:szCs w:val="20"/>
        </w:rPr>
        <w:t>La Corte rigetta il ricorso e compensa le spese.</w:t>
      </w:r>
    </w:p>
    <w:p w:rsidR="00EB5E5A" w:rsidRDefault="002758CA"/>
    <w:p w:rsidR="00DF3415" w:rsidRDefault="00DF3415"/>
    <w:p w:rsidR="00DF3415" w:rsidRDefault="00DF3415"/>
    <w:p w:rsidR="00DF3415" w:rsidRDefault="00DF3415"/>
    <w:p w:rsidR="00DF3415" w:rsidRDefault="00DF3415"/>
    <w:p w:rsidR="00DF3415" w:rsidRDefault="00DF3415"/>
    <w:p w:rsidR="00DF3415" w:rsidRDefault="00DF3415"/>
    <w:p w:rsidR="00DF3415" w:rsidRDefault="00DF3415"/>
    <w:p w:rsidR="00DF3415" w:rsidRDefault="00DF3415"/>
    <w:p w:rsidR="00DF3415" w:rsidRDefault="00DF3415"/>
    <w:p w:rsidR="00DF3415" w:rsidRDefault="00DF3415"/>
    <w:p w:rsidR="00DF3415" w:rsidRDefault="00DF3415" w:rsidP="00DF3415">
      <w:pPr>
        <w:autoSpaceDE w:val="0"/>
        <w:autoSpaceDN w:val="0"/>
        <w:adjustRightInd w:val="0"/>
        <w:spacing w:after="0" w:line="240" w:lineRule="auto"/>
        <w:rPr>
          <w:rFonts w:ascii="Arial" w:hAnsi="Arial" w:cs="Arial"/>
          <w:b/>
          <w:bCs/>
          <w:color w:val="231F20"/>
          <w:sz w:val="19"/>
          <w:szCs w:val="19"/>
        </w:rPr>
      </w:pPr>
      <w:r>
        <w:rPr>
          <w:rFonts w:ascii="Arial" w:hAnsi="Arial" w:cs="Arial"/>
          <w:b/>
          <w:bCs/>
          <w:color w:val="231F20"/>
          <w:sz w:val="19"/>
          <w:szCs w:val="19"/>
        </w:rPr>
        <w:lastRenderedPageBreak/>
        <w:t>La Cassazione sulla solidarietà nel condominio, nessun contrasto</w:t>
      </w:r>
    </w:p>
    <w:p w:rsidR="00DF3415" w:rsidRDefault="00DF3415" w:rsidP="00DF3415">
      <w:pPr>
        <w:autoSpaceDE w:val="0"/>
        <w:autoSpaceDN w:val="0"/>
        <w:adjustRightInd w:val="0"/>
        <w:spacing w:after="0" w:line="240" w:lineRule="auto"/>
        <w:rPr>
          <w:rFonts w:ascii="Arial" w:hAnsi="Arial" w:cs="Arial"/>
          <w:color w:val="000000"/>
          <w:sz w:val="19"/>
          <w:szCs w:val="19"/>
        </w:rPr>
      </w:pPr>
      <w:r>
        <w:rPr>
          <w:rFonts w:ascii="Arial" w:hAnsi="Arial" w:cs="Arial"/>
          <w:color w:val="000000"/>
          <w:sz w:val="19"/>
          <w:szCs w:val="19"/>
        </w:rPr>
        <w:t>di Corrado Sforza Fogliani*</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La Cassazione, a sezioni unite, si è espressa (</w:t>
      </w:r>
      <w:proofErr w:type="spellStart"/>
      <w:r>
        <w:rPr>
          <w:rFonts w:ascii="Arial" w:hAnsi="Arial" w:cs="Arial"/>
          <w:color w:val="231F20"/>
          <w:sz w:val="19"/>
          <w:szCs w:val="19"/>
        </w:rPr>
        <w:t>sent</w:t>
      </w:r>
      <w:proofErr w:type="spellEnd"/>
      <w:r>
        <w:rPr>
          <w:rFonts w:ascii="Arial" w:hAnsi="Arial" w:cs="Arial"/>
          <w:color w:val="231F20"/>
          <w:sz w:val="19"/>
          <w:szCs w:val="19"/>
        </w:rPr>
        <w:t>. n. 9148/'08) per la parziarietà delle obbligazioni</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condominiali. In senso diverso (e cioè, in favore della solidarietà passiva tra condòmini) si è</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invece espressa una sezione semplice della Suprema Corte (</w:t>
      </w:r>
      <w:proofErr w:type="spellStart"/>
      <w:r>
        <w:rPr>
          <w:rFonts w:ascii="Arial" w:hAnsi="Arial" w:cs="Arial"/>
          <w:color w:val="231F20"/>
          <w:sz w:val="19"/>
          <w:szCs w:val="19"/>
        </w:rPr>
        <w:t>sent</w:t>
      </w:r>
      <w:proofErr w:type="spellEnd"/>
      <w:r>
        <w:rPr>
          <w:rFonts w:ascii="Arial" w:hAnsi="Arial" w:cs="Arial"/>
          <w:color w:val="231F20"/>
          <w:sz w:val="19"/>
          <w:szCs w:val="19"/>
        </w:rPr>
        <w:t>. n. 14813/'08). Ma si tratta di un</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contrasto del tutto apparente, come ha evidenziato in una nota l'ufficio stampa della Corte, con riferimento</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a errate interpretazioni di stampa.</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“Le fattispecie esaminate dalle due sentenze sono diverse. La seconda – ha spiegato la Cassazione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 riguarda la solidarietà passiva tra comproprietari di un appartamento sito in un condominio,</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solidarietà che sussiste; la prima riguarda la supposta solidarietà passiva tra condominio 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condòmini per spese condominiali, solidarietà che non sussiste, in quanto i condòmini rispondono</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sempre pro quota”. “In questo caso – continuava la nota – le Sezioni Unite hanno affermato che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 xml:space="preserve">venendo spesso la solidarietà ad essere la configurazione </w:t>
      </w:r>
      <w:r>
        <w:rPr>
          <w:rFonts w:ascii="Arial" w:hAnsi="Arial" w:cs="Arial"/>
          <w:i/>
          <w:iCs/>
          <w:color w:val="231F20"/>
          <w:sz w:val="19"/>
          <w:szCs w:val="19"/>
        </w:rPr>
        <w:t xml:space="preserve">ex </w:t>
      </w:r>
      <w:proofErr w:type="spellStart"/>
      <w:r>
        <w:rPr>
          <w:rFonts w:ascii="Arial" w:hAnsi="Arial" w:cs="Arial"/>
          <w:i/>
          <w:iCs/>
          <w:color w:val="231F20"/>
          <w:sz w:val="19"/>
          <w:szCs w:val="19"/>
        </w:rPr>
        <w:t>lege</w:t>
      </w:r>
      <w:proofErr w:type="spellEnd"/>
      <w:r>
        <w:rPr>
          <w:rFonts w:ascii="Arial" w:hAnsi="Arial" w:cs="Arial"/>
          <w:color w:val="231F20"/>
          <w:sz w:val="19"/>
          <w:szCs w:val="19"/>
        </w:rPr>
        <w:t>, nei rapporti esterni, di una obbligazione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intrinsecamente parziaria, in difetto di configurazione normativa dell’obbligazione come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solidale (e nessuna norma di legge espressamente dispone che il criterio della solidarietà si applichi</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alle obbligazioni dei condòmini) e, contemporaneamente, in presenza di una obbligazione comune,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ma naturalisticamente divisibile (come lo è una somma di denaro), viene meno uno dei requisiti</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della solidarietà e la struttura parziaria della obbligazione prevale”.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Il caso più interessante (</w:t>
      </w:r>
      <w:proofErr w:type="spellStart"/>
      <w:r>
        <w:rPr>
          <w:rFonts w:ascii="Arial" w:hAnsi="Arial" w:cs="Arial"/>
          <w:color w:val="231F20"/>
          <w:sz w:val="19"/>
          <w:szCs w:val="19"/>
        </w:rPr>
        <w:t>perchè</w:t>
      </w:r>
      <w:proofErr w:type="spellEnd"/>
      <w:r>
        <w:rPr>
          <w:rFonts w:ascii="Arial" w:hAnsi="Arial" w:cs="Arial"/>
          <w:color w:val="231F20"/>
          <w:sz w:val="19"/>
          <w:szCs w:val="19"/>
        </w:rPr>
        <w:t xml:space="preserve"> più ricorrente nella pratica) è quello affrontato dalle sezioni unite.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Che, risolvendo un contrasto di giurisprudenza rispetto alla responsabilità solidale o “pro quota”</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dei condòmini per le obbligazioni contratte dall’amministratore nell’interesse del condominio, hanno</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ritenuto legittimo - come già visto, e facendo propria la tesi minoritaria - il principio della parziarietà,</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ossia della ripartizione tra i condòmini delle obbligazioni assunte nell’interesse del condominio</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in proporzione alle rispettive quote. In particolare, la Corte ha sottolineato che: l’obbligazione,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ancorché comune, è divisibile, trattandosi di somma di denaro; la solidarietà nel condominio non è</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contemplata da nessuna disposizione di legge e l’art. 1123 del codice civile non distingue il profilo</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esterno da quello interno; l’amministratore vincola i singoli nei limiti delle sue attribuzioni e del</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mandato conferitogli in ragione delle quote.</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Il testo integrale della sentenza (che rafforza la tesi – proposta, e sempre sostenuta, dalla</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Confedilizia – della necessità di attribuire capacità giuridica al condominio) è consultabile su</w:t>
      </w:r>
    </w:p>
    <w:p w:rsidR="00DF3415" w:rsidRDefault="00DF3415" w:rsidP="00DF3415">
      <w:pPr>
        <w:autoSpaceDE w:val="0"/>
        <w:autoSpaceDN w:val="0"/>
        <w:adjustRightInd w:val="0"/>
        <w:spacing w:after="0" w:line="240" w:lineRule="auto"/>
        <w:rPr>
          <w:rFonts w:ascii="Arial" w:hAnsi="Arial" w:cs="Arial"/>
          <w:color w:val="231F20"/>
          <w:sz w:val="19"/>
          <w:szCs w:val="19"/>
        </w:rPr>
      </w:pPr>
      <w:r>
        <w:rPr>
          <w:rFonts w:ascii="Arial" w:hAnsi="Arial" w:cs="Arial"/>
          <w:color w:val="231F20"/>
          <w:sz w:val="19"/>
          <w:szCs w:val="19"/>
        </w:rPr>
        <w:t>questo sito.</w:t>
      </w:r>
    </w:p>
    <w:p w:rsidR="00DF3415" w:rsidRDefault="00DF3415" w:rsidP="00DF3415">
      <w:pPr>
        <w:autoSpaceDE w:val="0"/>
        <w:autoSpaceDN w:val="0"/>
        <w:adjustRightInd w:val="0"/>
        <w:spacing w:after="0" w:line="240" w:lineRule="auto"/>
        <w:rPr>
          <w:rFonts w:ascii="Arial" w:hAnsi="Arial" w:cs="Arial"/>
          <w:color w:val="000000"/>
          <w:sz w:val="19"/>
          <w:szCs w:val="19"/>
        </w:rPr>
      </w:pPr>
      <w:r>
        <w:rPr>
          <w:rFonts w:ascii="Arial" w:hAnsi="Arial" w:cs="Arial"/>
          <w:color w:val="000000"/>
          <w:sz w:val="19"/>
          <w:szCs w:val="19"/>
        </w:rPr>
        <w:t>*presidente Confedilizia</w:t>
      </w:r>
    </w:p>
    <w:p w:rsidR="00DF3415" w:rsidRDefault="00DF3415" w:rsidP="00DF3415">
      <w:r>
        <w:rPr>
          <w:rFonts w:ascii="Arial" w:hAnsi="Arial" w:cs="Arial"/>
          <w:color w:val="000000"/>
          <w:sz w:val="19"/>
          <w:szCs w:val="19"/>
        </w:rPr>
        <w:t>Inserito in data 1.9.2008</w:t>
      </w:r>
      <w:bookmarkStart w:id="0" w:name="_GoBack"/>
      <w:bookmarkEnd w:id="0"/>
    </w:p>
    <w:sectPr w:rsidR="00DF34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415"/>
    <w:rsid w:val="002758CA"/>
    <w:rsid w:val="003E1115"/>
    <w:rsid w:val="00C9388D"/>
    <w:rsid w:val="00DF34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DF341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grame">
    <w:name w:val="grame"/>
    <w:basedOn w:val="Carpredefinitoparagrafo"/>
    <w:rsid w:val="00DF3415"/>
  </w:style>
  <w:style w:type="character" w:styleId="Enfasicorsivo">
    <w:name w:val="Emphasis"/>
    <w:basedOn w:val="Carpredefinitoparagrafo"/>
    <w:uiPriority w:val="20"/>
    <w:qFormat/>
    <w:rsid w:val="00DF341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DF341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grame">
    <w:name w:val="grame"/>
    <w:basedOn w:val="Carpredefinitoparagrafo"/>
    <w:rsid w:val="00DF3415"/>
  </w:style>
  <w:style w:type="character" w:styleId="Enfasicorsivo">
    <w:name w:val="Emphasis"/>
    <w:basedOn w:val="Carpredefinitoparagrafo"/>
    <w:uiPriority w:val="20"/>
    <w:qFormat/>
    <w:rsid w:val="00DF34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8</Pages>
  <Words>4271</Words>
  <Characters>24350</Characters>
  <Application>Microsoft Office Word</Application>
  <DocSecurity>0</DocSecurity>
  <Lines>202</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 64</dc:creator>
  <cp:lastModifiedBy>WIN 7 64</cp:lastModifiedBy>
  <cp:revision>1</cp:revision>
  <dcterms:created xsi:type="dcterms:W3CDTF">2011-12-29T08:56:00Z</dcterms:created>
  <dcterms:modified xsi:type="dcterms:W3CDTF">2011-12-29T11:07:00Z</dcterms:modified>
</cp:coreProperties>
</file>